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Rule="auto"/>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02">
      <w:pPr>
        <w:spacing w:after="280" w:before="28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Menorca</w:t>
      </w:r>
      <w:r w:rsidDel="00000000" w:rsidR="00000000" w:rsidRPr="00000000">
        <w:rPr>
          <w:rFonts w:ascii="Times New Roman" w:cs="Times New Roman" w:eastAsia="Times New Roman" w:hAnsi="Times New Roman"/>
          <w:b w:val="1"/>
          <w:sz w:val="36"/>
          <w:szCs w:val="36"/>
          <w:rtl w:val="0"/>
        </w:rPr>
        <w:t xml:space="preserve"> acoge la presentación de la Guía de Consumo Sostenible de Pescado y Marisco de las Islas Baleares</w:t>
      </w:r>
      <w:r w:rsidDel="00000000" w:rsidR="00000000" w:rsidRPr="00000000">
        <w:rPr>
          <w:rtl w:val="0"/>
        </w:rPr>
      </w:r>
    </w:p>
    <w:p w:rsidR="00000000" w:rsidDel="00000000" w:rsidP="00000000" w:rsidRDefault="00000000" w:rsidRPr="00000000" w14:paraId="00000003">
      <w:pPr>
        <w:spacing w:after="280" w:before="2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Es Mercadal, 30 de abril de 2025</w:t>
      </w:r>
      <w:r w:rsidDel="00000000" w:rsidR="00000000" w:rsidRPr="00000000">
        <w:rPr>
          <w:rFonts w:ascii="Times New Roman" w:cs="Times New Roman" w:eastAsia="Times New Roman" w:hAnsi="Times New Roman"/>
          <w:rtl w:val="0"/>
        </w:rPr>
        <w:t xml:space="preserve"> – Veinte personas asistieron ayer a la presentaci</w:t>
      </w:r>
      <w:r w:rsidDel="00000000" w:rsidR="00000000" w:rsidRPr="00000000">
        <w:rPr>
          <w:rFonts w:ascii="Times New Roman" w:cs="Times New Roman" w:eastAsia="Times New Roman" w:hAnsi="Times New Roman"/>
          <w:rtl w:val="0"/>
        </w:rPr>
        <w:t xml:space="preserve">ón de la Guía de Consumo Sostenible de Pescado y Marisco de las Islas Baleares, organizada en el Centro de Convenciones de Es Mercadal. El evento, a cargo de la</w:t>
      </w:r>
      <w:r w:rsidDel="00000000" w:rsidR="00000000" w:rsidRPr="00000000">
        <w:rPr>
          <w:rFonts w:ascii="Times New Roman" w:cs="Times New Roman" w:eastAsia="Times New Roman" w:hAnsi="Times New Roman"/>
          <w:rtl w:val="0"/>
        </w:rPr>
        <w:t xml:space="preserve"> Alianza </w:t>
      </w:r>
      <w:r w:rsidDel="00000000" w:rsidR="00000000" w:rsidRPr="00000000">
        <w:rPr>
          <w:rFonts w:ascii="Times New Roman" w:cs="Times New Roman" w:eastAsia="Times New Roman" w:hAnsi="Times New Roman"/>
          <w:b w:val="1"/>
          <w:rtl w:val="0"/>
        </w:rPr>
        <w:t xml:space="preserve">Calant Xarxes</w:t>
      </w:r>
      <w:r w:rsidDel="00000000" w:rsidR="00000000" w:rsidRPr="00000000">
        <w:rPr>
          <w:rFonts w:ascii="Times New Roman" w:cs="Times New Roman" w:eastAsia="Times New Roman" w:hAnsi="Times New Roman"/>
          <w:rtl w:val="0"/>
        </w:rPr>
        <w:t xml:space="preserve">, en colaboración con el </w:t>
      </w:r>
      <w:r w:rsidDel="00000000" w:rsidR="00000000" w:rsidRPr="00000000">
        <w:rPr>
          <w:rFonts w:ascii="Times New Roman" w:cs="Times New Roman" w:eastAsia="Times New Roman" w:hAnsi="Times New Roman"/>
          <w:b w:val="1"/>
          <w:rtl w:val="0"/>
        </w:rPr>
        <w:t xml:space="preserve">Observatorio Socioambiental de Menorca (IME-OBSAM)</w:t>
      </w:r>
      <w:r w:rsidDel="00000000" w:rsidR="00000000" w:rsidRPr="00000000">
        <w:rPr>
          <w:rFonts w:ascii="Times New Roman" w:cs="Times New Roman" w:eastAsia="Times New Roman" w:hAnsi="Times New Roman"/>
          <w:rtl w:val="0"/>
        </w:rPr>
        <w:t xml:space="preserve">, naci</w:t>
      </w:r>
      <w:r w:rsidDel="00000000" w:rsidR="00000000" w:rsidRPr="00000000">
        <w:rPr>
          <w:rFonts w:ascii="Times New Roman" w:cs="Times New Roman" w:eastAsia="Times New Roman" w:hAnsi="Times New Roman"/>
          <w:rtl w:val="0"/>
        </w:rPr>
        <w:t xml:space="preserve">ó con el objetivo de invitar </w:t>
      </w:r>
      <w:r w:rsidDel="00000000" w:rsidR="00000000" w:rsidRPr="00000000">
        <w:rPr>
          <w:rFonts w:ascii="Times New Roman" w:cs="Times New Roman" w:eastAsia="Times New Roman" w:hAnsi="Times New Roman"/>
          <w:rtl w:val="0"/>
        </w:rPr>
        <w:t xml:space="preserve"> a la ciudadanía a conocer esta herramienta práctica que busca fomentar un consumo responsable y apoyar la pesca artesanal de nuestras islas. </w:t>
      </w:r>
    </w:p>
    <w:p w:rsidR="00000000" w:rsidDel="00000000" w:rsidP="00000000" w:rsidRDefault="00000000" w:rsidRPr="00000000" w14:paraId="00000005">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jornada cont</w:t>
      </w:r>
      <w:r w:rsidDel="00000000" w:rsidR="00000000" w:rsidRPr="00000000">
        <w:rPr>
          <w:rFonts w:ascii="Times New Roman" w:cs="Times New Roman" w:eastAsia="Times New Roman" w:hAnsi="Times New Roman"/>
          <w:rtl w:val="0"/>
        </w:rPr>
        <w:t xml:space="preserve">ó con la participación de Elisa Martínez, Coordinadora de la Alianza Calant Xarxes</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i w:val="1"/>
          <w:rtl w:val="0"/>
        </w:rPr>
        <w:t xml:space="preserve">“Con esta guía queremos facilitar a los consumidores la elección de pescado y marisco local, trazable y de temporada, respetando las tallas mínimas y priorizando aquellas especies con menor vulnerabilidad ecológica y menor riesgo para la salud. </w:t>
      </w:r>
      <w:r w:rsidDel="00000000" w:rsidR="00000000" w:rsidRPr="00000000">
        <w:rPr>
          <w:rFonts w:ascii="Times New Roman" w:cs="Times New Roman" w:eastAsia="Times New Roman" w:hAnsi="Times New Roman"/>
          <w:i w:val="1"/>
          <w:rtl w:val="0"/>
        </w:rPr>
        <w:t xml:space="preserve">Nos alegra haber podido compartir el resultado de este trabajo conjunto con las Cofradías de pescadores de Ciutadella, Maó y Fornells, la Peixateria Sa Llotja, investigadores del COB-IEO, representantes institucionales del Consell Insular de Menorca y del Ayuntamiento de Es Mercadal, así como con los miembros de la Alianza Calant Xarxes, técnicos del OBSAM-IME y ciudadanos de Menorca. Agradecemos su implicación, interés y compromiso para seguir avanzando hacia la sostenibilidad del sector pesquero de las Islas Baleares”</w:t>
      </w:r>
      <w:r w:rsidDel="00000000" w:rsidR="00000000" w:rsidRPr="00000000">
        <w:rPr>
          <w:rFonts w:ascii="Times New Roman" w:cs="Times New Roman" w:eastAsia="Times New Roman" w:hAnsi="Times New Roman"/>
          <w:rtl w:val="0"/>
        </w:rPr>
        <w:t xml:space="preserve">, afirma.</w:t>
      </w:r>
    </w:p>
    <w:p w:rsidR="00000000" w:rsidDel="00000000" w:rsidP="00000000" w:rsidRDefault="00000000" w:rsidRPr="00000000" w14:paraId="00000006">
      <w:pPr>
        <w:spacing w:after="280" w:before="2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Además, Eva Marsinyach, responsable del seguimiento de medio marino del OBSAM-IME, también participó en la presentación, explicando el trabajo técnico detrás de la misma:</w:t>
      </w:r>
      <w:r w:rsidDel="00000000" w:rsidR="00000000" w:rsidRPr="00000000">
        <w:rPr>
          <w:rFonts w:ascii="Times New Roman" w:cs="Times New Roman" w:eastAsia="Times New Roman" w:hAnsi="Times New Roman"/>
          <w:i w:val="1"/>
          <w:rtl w:val="0"/>
        </w:rPr>
        <w:t xml:space="preserve">“La elaboración de la guía se ha basado en un enfoque científico riguroso, con una metodología clara para calcular la vulnerabilidad de las especies. Agradecemos especialmente la dedicación de Marina Bagur, autora principal del documento. Ha sido un placer participar en esta presentación para explicar cómo se ha construido esta herramienta colectiva, que combina conocimiento científico y saber local.”</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spacing w:after="280" w:before="28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Una herramienta práctica para un cambio sostenible</w:t>
      </w:r>
    </w:p>
    <w:p w:rsidR="00000000" w:rsidDel="00000000" w:rsidP="00000000" w:rsidRDefault="00000000" w:rsidRPr="00000000" w14:paraId="00000009">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guía nace con el impulso de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los miembros de Calant Xarxes, y busca reducir la presión sobre las especies más vulnerables y reforzar la conservación del mar Balear. Su contenido, dividido en dos grupos, describe 40 especies marinas locales:</w:t>
      </w:r>
    </w:p>
    <w:p w:rsidR="00000000" w:rsidDel="00000000" w:rsidP="00000000" w:rsidRDefault="00000000" w:rsidRPr="00000000" w14:paraId="0000000A">
      <w:pPr>
        <w:numPr>
          <w:ilvl w:val="0"/>
          <w:numId w:val="1"/>
        </w:numPr>
        <w:spacing w:after="0" w:before="28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16 especies menos consumidas</w:t>
      </w:r>
      <w:r w:rsidDel="00000000" w:rsidR="00000000" w:rsidRPr="00000000">
        <w:rPr>
          <w:rFonts w:ascii="Times New Roman" w:cs="Times New Roman" w:eastAsia="Times New Roman" w:hAnsi="Times New Roman"/>
          <w:rtl w:val="0"/>
        </w:rPr>
        <w:t xml:space="preserve">, con baja vulnerabilidad y riesgo para la salud, muchas de ellas tradicionales en la dieta balear.</w:t>
      </w:r>
    </w:p>
    <w:p w:rsidR="00000000" w:rsidDel="00000000" w:rsidP="00000000" w:rsidRDefault="00000000" w:rsidRPr="00000000" w14:paraId="0000000B">
      <w:pPr>
        <w:numPr>
          <w:ilvl w:val="0"/>
          <w:numId w:val="1"/>
        </w:numPr>
        <w:spacing w:after="280" w:before="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24 especies populares</w:t>
      </w:r>
      <w:r w:rsidDel="00000000" w:rsidR="00000000" w:rsidRPr="00000000">
        <w:rPr>
          <w:rFonts w:ascii="Times New Roman" w:cs="Times New Roman" w:eastAsia="Times New Roman" w:hAnsi="Times New Roman"/>
          <w:rtl w:val="0"/>
        </w:rPr>
        <w:t xml:space="preserve">, con distintos niveles de presión pesquera y vulnerabilidad.</w:t>
      </w:r>
    </w:p>
    <w:p w:rsidR="00000000" w:rsidDel="00000000" w:rsidP="00000000" w:rsidRDefault="00000000" w:rsidRPr="00000000" w14:paraId="0000000C">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Cada ficha ofrece información sobre temporada, arte de pesca, tallas mínimas, beneficios nutricionales, recomendaciones de preparación y más. L</w:t>
      </w:r>
      <w:r w:rsidDel="00000000" w:rsidR="00000000" w:rsidRPr="00000000">
        <w:rPr>
          <w:rFonts w:ascii="Times New Roman" w:cs="Times New Roman" w:eastAsia="Times New Roman" w:hAnsi="Times New Roman"/>
          <w:rtl w:val="0"/>
        </w:rPr>
        <w:t xml:space="preserve">a guía no sólo está pensada para orientar a consumidores individuales, sino también a </w:t>
      </w:r>
      <w:r w:rsidDel="00000000" w:rsidR="00000000" w:rsidRPr="00000000">
        <w:rPr>
          <w:rFonts w:ascii="Times New Roman" w:cs="Times New Roman" w:eastAsia="Times New Roman" w:hAnsi="Times New Roman"/>
          <w:b w:val="1"/>
          <w:rtl w:val="0"/>
        </w:rPr>
        <w:t xml:space="preserve">pescaderías y restaurantes</w:t>
      </w:r>
      <w:r w:rsidDel="00000000" w:rsidR="00000000" w:rsidRPr="00000000">
        <w:rPr>
          <w:rFonts w:ascii="Times New Roman" w:cs="Times New Roman" w:eastAsia="Times New Roman" w:hAnsi="Times New Roman"/>
          <w:rtl w:val="0"/>
        </w:rPr>
        <w:t xml:space="preserve">, actores fundamentales en la cadena de valor.</w:t>
      </w: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280" w:before="28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Qué dicen otras voces del sector sobre la guía: </w:t>
      </w:r>
    </w:p>
    <w:p w:rsidR="00000000" w:rsidDel="00000000" w:rsidP="00000000" w:rsidRDefault="00000000" w:rsidRPr="00000000" w14:paraId="0000000F">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Xavier Marquès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patrón mayor de la Cofradía de Pescadores de Ciutadella, afirma:</w:t>
      </w:r>
    </w:p>
    <w:p w:rsidR="00000000" w:rsidDel="00000000" w:rsidP="00000000" w:rsidRDefault="00000000" w:rsidRPr="00000000" w14:paraId="00000010">
      <w:pPr>
        <w:spacing w:after="280" w:before="2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“Esperamos que esta guía sirva para dar a conocer los peces menos conocidos pero igual de sabrosos o más que los más populares, y a la vez, continuar disfrutando de los productos del mar de manera más responsable”.</w:t>
      </w:r>
    </w:p>
    <w:p w:rsidR="00000000" w:rsidDel="00000000" w:rsidP="00000000" w:rsidRDefault="00000000" w:rsidRPr="00000000" w14:paraId="00000011">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w:t>
      </w:r>
      <w:r w:rsidDel="00000000" w:rsidR="00000000" w:rsidRPr="00000000">
        <w:rPr>
          <w:rFonts w:ascii="Times New Roman" w:cs="Times New Roman" w:eastAsia="Times New Roman" w:hAnsi="Times New Roman"/>
          <w:b w:val="1"/>
          <w:rtl w:val="0"/>
        </w:rPr>
        <w:t xml:space="preserve">Menorca Preservation</w:t>
      </w:r>
      <w:r w:rsidDel="00000000" w:rsidR="00000000" w:rsidRPr="00000000">
        <w:rPr>
          <w:rFonts w:ascii="Times New Roman" w:cs="Times New Roman" w:eastAsia="Times New Roman" w:hAnsi="Times New Roman"/>
          <w:rtl w:val="0"/>
        </w:rPr>
        <w:t xml:space="preserve">, Sara D’Eustacchio, responsable de comunicación, señala:</w:t>
      </w:r>
    </w:p>
    <w:p w:rsidR="00000000" w:rsidDel="00000000" w:rsidP="00000000" w:rsidRDefault="00000000" w:rsidRPr="00000000" w14:paraId="00000012">
      <w:pPr>
        <w:spacing w:after="280" w:before="2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“Siempre es un placer crear espacios que fomenten el diálogo y la colaboración entre distintos sectores. Confiamos en que esta guía se convierta en una herramienta útil para seguir impulsando y poniendo en valor el producto local y sostenible.”</w:t>
      </w:r>
      <w:r w:rsidDel="00000000" w:rsidR="00000000" w:rsidRPr="00000000">
        <w:rPr>
          <w:rtl w:val="0"/>
        </w:rPr>
      </w:r>
    </w:p>
    <w:p w:rsidR="00000000" w:rsidDel="00000000" w:rsidP="00000000" w:rsidRDefault="00000000" w:rsidRPr="00000000" w14:paraId="00000013">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Aniol Esteban</w:t>
      </w:r>
      <w:r w:rsidDel="00000000" w:rsidR="00000000" w:rsidRPr="00000000">
        <w:rPr>
          <w:rFonts w:ascii="Times New Roman" w:cs="Times New Roman" w:eastAsia="Times New Roman" w:hAnsi="Times New Roman"/>
          <w:rtl w:val="0"/>
        </w:rPr>
        <w:t xml:space="preserve">, director de </w:t>
      </w:r>
      <w:r w:rsidDel="00000000" w:rsidR="00000000" w:rsidRPr="00000000">
        <w:rPr>
          <w:rFonts w:ascii="Times New Roman" w:cs="Times New Roman" w:eastAsia="Times New Roman" w:hAnsi="Times New Roman"/>
          <w:b w:val="1"/>
          <w:rtl w:val="0"/>
        </w:rPr>
        <w:t xml:space="preserve">Fundación Marilles</w:t>
      </w:r>
      <w:r w:rsidDel="00000000" w:rsidR="00000000" w:rsidRPr="00000000">
        <w:rPr>
          <w:rFonts w:ascii="Times New Roman" w:cs="Times New Roman" w:eastAsia="Times New Roman" w:hAnsi="Times New Roman"/>
          <w:rtl w:val="0"/>
        </w:rPr>
        <w:t xml:space="preserve">, añade:</w:t>
      </w:r>
    </w:p>
    <w:p w:rsidR="00000000" w:rsidDel="00000000" w:rsidP="00000000" w:rsidRDefault="00000000" w:rsidRPr="00000000" w14:paraId="00000014">
      <w:pPr>
        <w:spacing w:after="280" w:before="2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Con esta guía ponemos en valor la diversidad de producto que llevan a nuestra mesa los pescadores y apelamos a la conciencia del consumidor para comprar producto local y decir no a la compra de pescado ilegal. La sostenibilidad no depende únicamente del sector pesquero, sino también de la demanda. Por eso es fundamental empoderar al consumidor con información clara, práctica y fiable como la que ofrece esta guía”.</w:t>
      </w:r>
    </w:p>
    <w:p w:rsidR="00000000" w:rsidDel="00000000" w:rsidP="00000000" w:rsidRDefault="00000000" w:rsidRPr="00000000" w14:paraId="00000015">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Alicia Martí Pons</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Directora Insular d`Economía, subraya: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rtl w:val="0"/>
        </w:rPr>
        <w:t xml:space="preserve">Desde el Consell Insular de Menorca, queremos expresar nuestro firme apoyo a esta valiosa iniciativa de la Alianza Calant Xarxes y el Observatorio Socioambiental de Menorca. Ha sido un placer asistir a la presentación de esta Guía de Consumo Sostenible de Pescado y Marisco de las Islas Baleares.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Consideramos que esta guía es una herramienta fundamental para promover un consumo responsable de los productos del mar. Al ofrecer información clara y práctica sobre las especies locales, sus temporadas, artes de pesca y beneficios, se facilita una elección informada que apoya a nuestra pesca artesanal y contribuye a la sostenibilidad de nuestros recursos marinos.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Felicitamos a todos los que han hecho posible esta guía, desde los investigadores hasta las cofradías de pescadores. Su colaboración y compromiso son esenciales para avanzar hacia un futuro más sostenible para el sector pesquero de nuestras islas. El Consell Insular de Menorca seguirá trabajando para apoyar este tipo de iniciativas que ponen en valor nuestro producto local y la conservación de nuestro entorno marino.”</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after="280" w:before="28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¿Dónde encontrar la guía?</w:t>
      </w:r>
    </w:p>
    <w:p w:rsidR="00000000" w:rsidDel="00000000" w:rsidP="00000000" w:rsidRDefault="00000000" w:rsidRPr="00000000" w14:paraId="0000001B">
      <w:pPr>
        <w:spacing w:after="280" w:before="280" w:lineRule="auto"/>
        <w:jc w:val="both"/>
        <w:rPr>
          <w:rFonts w:ascii="Times New Roman" w:cs="Times New Roman" w:eastAsia="Times New Roman" w:hAnsi="Times New Roman"/>
        </w:rPr>
      </w:pP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Disponible en </w:t>
      </w:r>
      <w:r w:rsidDel="00000000" w:rsidR="00000000" w:rsidRPr="00000000">
        <w:rPr>
          <w:rFonts w:ascii="Times New Roman" w:cs="Times New Roman" w:eastAsia="Times New Roman" w:hAnsi="Times New Roman"/>
          <w:b w:val="1"/>
          <w:rtl w:val="0"/>
        </w:rPr>
        <w:t xml:space="preserve">castellano, catalán e inglés</w:t>
      </w:r>
      <w:r w:rsidDel="00000000" w:rsidR="00000000" w:rsidRPr="00000000">
        <w:rPr>
          <w:rFonts w:ascii="Times New Roman" w:cs="Times New Roman" w:eastAsia="Times New Roman" w:hAnsi="Times New Roman"/>
          <w:rtl w:val="0"/>
        </w:rPr>
        <w:t xml:space="preserve"> en la web: </w:t>
      </w:r>
      <w:hyperlink r:id="rId7">
        <w:r w:rsidDel="00000000" w:rsidR="00000000" w:rsidRPr="00000000">
          <w:rPr>
            <w:rFonts w:ascii="Times New Roman" w:cs="Times New Roman" w:eastAsia="Times New Roman" w:hAnsi="Times New Roman"/>
            <w:color w:val="0000ff"/>
            <w:u w:val="single"/>
            <w:rtl w:val="0"/>
          </w:rPr>
          <w:t xml:space="preserve">www.calantxarxes.org</w:t>
        </w:r>
      </w:hyperlink>
      <w:r w:rsidDel="00000000" w:rsidR="00000000" w:rsidRPr="00000000">
        <w:rPr>
          <w:rFonts w:ascii="Times New Roman" w:cs="Times New Roman" w:eastAsia="Times New Roman" w:hAnsi="Times New Roman"/>
          <w:rtl w:val="0"/>
        </w:rPr>
        <w:br w:type="textWrapping"/>
      </w: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Se distribuirá en cofradías, bibliotecas insulares y eventos gastronómicos.</w:t>
        <w:br w:type="textWrapping"/>
      </w: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Restaurantes y pescaderías pueden unirse a la comunidad de consumo responsable y recibir actualizaciones a través de: </w:t>
      </w:r>
      <w:hyperlink r:id="rId8">
        <w:r w:rsidDel="00000000" w:rsidR="00000000" w:rsidRPr="00000000">
          <w:rPr>
            <w:rFonts w:ascii="Times New Roman" w:cs="Times New Roman" w:eastAsia="Times New Roman" w:hAnsi="Times New Roman"/>
            <w:color w:val="0000ff"/>
            <w:u w:val="single"/>
            <w:rtl w:val="0"/>
          </w:rPr>
          <w:t xml:space="preserve">www.calantxarxes.org/qr</w:t>
        </w:r>
      </w:hyperlink>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spacing w:after="280" w:before="28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Sobre la Alianza Calant Xarxes</w:t>
      </w:r>
    </w:p>
    <w:p w:rsidR="00000000" w:rsidDel="00000000" w:rsidP="00000000" w:rsidRDefault="00000000" w:rsidRPr="00000000" w14:paraId="0000001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objetivo de la </w:t>
      </w:r>
      <w:r w:rsidDel="00000000" w:rsidR="00000000" w:rsidRPr="00000000">
        <w:rPr>
          <w:rFonts w:ascii="Times New Roman" w:cs="Times New Roman" w:eastAsia="Times New Roman" w:hAnsi="Times New Roman"/>
          <w:b w:val="1"/>
          <w:rtl w:val="0"/>
        </w:rPr>
        <w:t xml:space="preserve"> Alianza Calant Xarxes</w:t>
      </w:r>
      <w:r w:rsidDel="00000000" w:rsidR="00000000" w:rsidRPr="00000000">
        <w:rPr>
          <w:rFonts w:ascii="Times New Roman" w:cs="Times New Roman" w:eastAsia="Times New Roman" w:hAnsi="Times New Roman"/>
          <w:rtl w:val="0"/>
        </w:rPr>
        <w:t xml:space="preserve"> es</w:t>
      </w:r>
      <w:r w:rsidDel="00000000" w:rsidR="00000000" w:rsidRPr="00000000">
        <w:rPr>
          <w:rFonts w:ascii="Times New Roman" w:cs="Times New Roman" w:eastAsia="Times New Roman" w:hAnsi="Times New Roman"/>
          <w:b w:val="1"/>
          <w:rtl w:val="0"/>
        </w:rPr>
        <w:t xml:space="preserve"> mejorar la sostenibilidad de las pesquerías de las Islas Baleares</w:t>
      </w:r>
      <w:r w:rsidDel="00000000" w:rsidR="00000000" w:rsidRPr="00000000">
        <w:rPr>
          <w:rFonts w:ascii="Times New Roman" w:cs="Times New Roman" w:eastAsia="Times New Roman" w:hAnsi="Times New Roman"/>
          <w:rtl w:val="0"/>
        </w:rPr>
        <w:t xml:space="preserve">. Para ello, colabora estrechamente  con el sector pesquero y otros actores clave de la cadena de valor de los productos del mar, promoviendo una oferta sostenible de productos del mar Balear. Además, fomenta un consumo responsable de productos del mar locales, trazables y respetuosos con el medio ambiente entre la ciudadanía, con el fin de contribuir a mitigar la pesca ilegal.</w:t>
      </w:r>
    </w:p>
    <w:p w:rsidR="00000000" w:rsidDel="00000000" w:rsidP="00000000" w:rsidRDefault="00000000" w:rsidRPr="00000000" w14:paraId="0000001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alianza está formada por fundaciones locales e internacionales:</w:t>
      </w:r>
    </w:p>
    <w:p w:rsidR="00000000" w:rsidDel="00000000" w:rsidP="00000000" w:rsidRDefault="00000000" w:rsidRPr="00000000" w14:paraId="0000002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Fundación Marilles</w:t>
      </w:r>
    </w:p>
    <w:p w:rsidR="00000000" w:rsidDel="00000000" w:rsidP="00000000" w:rsidRDefault="00000000" w:rsidRPr="00000000" w14:paraId="0000002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IbizaPreservation</w:t>
      </w:r>
    </w:p>
    <w:p w:rsidR="00000000" w:rsidDel="00000000" w:rsidP="00000000" w:rsidRDefault="00000000" w:rsidRPr="00000000" w14:paraId="0000002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Mallorca Preservation</w:t>
      </w:r>
    </w:p>
    <w:p w:rsidR="00000000" w:rsidDel="00000000" w:rsidP="00000000" w:rsidRDefault="00000000" w:rsidRPr="00000000" w14:paraId="0000002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Menorca Preservation</w:t>
      </w:r>
    </w:p>
    <w:p w:rsidR="00000000" w:rsidDel="00000000" w:rsidP="00000000" w:rsidRDefault="00000000" w:rsidRPr="00000000" w14:paraId="0000002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Blue Marine Foundation</w:t>
      </w:r>
    </w:p>
    <w:p w:rsidR="00000000" w:rsidDel="00000000" w:rsidP="00000000" w:rsidRDefault="00000000" w:rsidRPr="00000000" w14:paraId="0000002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Conservation Collective.</w:t>
      </w: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after="280" w:before="28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Sobre el IME-OBSAM</w:t>
      </w:r>
    </w:p>
    <w:p w:rsidR="00000000" w:rsidDel="00000000" w:rsidP="00000000" w:rsidRDefault="00000000" w:rsidRPr="00000000" w14:paraId="00000029">
      <w:p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w:t>
      </w:r>
      <w:r w:rsidDel="00000000" w:rsidR="00000000" w:rsidRPr="00000000">
        <w:rPr>
          <w:rFonts w:ascii="Times New Roman" w:cs="Times New Roman" w:eastAsia="Times New Roman" w:hAnsi="Times New Roman"/>
          <w:b w:val="1"/>
          <w:rtl w:val="0"/>
        </w:rPr>
        <w:t xml:space="preserve">Observatorio Socioambiental de Menorca (IME-OBSAM)</w:t>
      </w:r>
      <w:r w:rsidDel="00000000" w:rsidR="00000000" w:rsidRPr="00000000">
        <w:rPr>
          <w:rFonts w:ascii="Times New Roman" w:cs="Times New Roman" w:eastAsia="Times New Roman" w:hAnsi="Times New Roman"/>
          <w:rtl w:val="0"/>
        </w:rPr>
        <w:t xml:space="preserve">, vinculado al </w:t>
      </w:r>
      <w:r w:rsidDel="00000000" w:rsidR="00000000" w:rsidRPr="00000000">
        <w:rPr>
          <w:rFonts w:ascii="Times New Roman" w:cs="Times New Roman" w:eastAsia="Times New Roman" w:hAnsi="Times New Roman"/>
          <w:b w:val="1"/>
          <w:rtl w:val="0"/>
        </w:rPr>
        <w:t xml:space="preserve">Institut Menorquí d’Estudis</w:t>
      </w:r>
      <w:r w:rsidDel="00000000" w:rsidR="00000000" w:rsidRPr="00000000">
        <w:rPr>
          <w:rFonts w:ascii="Times New Roman" w:cs="Times New Roman" w:eastAsia="Times New Roman" w:hAnsi="Times New Roman"/>
          <w:rtl w:val="0"/>
        </w:rPr>
        <w:t xml:space="preserve">, es un instrumento clave para la Reserva de la Biosfera de Menorca. Su labor consiste en recopilar y analizar datos locales para ofrecer indicadores fiables sobre sostenibilidad, fomentando el bienestar humano sin comprometer los recursos naturales.</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spacing w:after="280" w:before="28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Contacto para prensa y entrevistas:</w:t>
      </w:r>
    </w:p>
    <w:p w:rsidR="00000000" w:rsidDel="00000000" w:rsidP="00000000" w:rsidRDefault="00000000" w:rsidRPr="00000000" w14:paraId="0000002C">
      <w:pPr>
        <w:spacing w:after="280" w:before="280" w:lineRule="auto"/>
        <w:rPr>
          <w:rFonts w:ascii="Times New Roman" w:cs="Times New Roman" w:eastAsia="Times New Roman" w:hAnsi="Times New Roman"/>
        </w:rPr>
      </w:pP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Elisa Martínez</w:t>
        <w:br w:type="textWrapping"/>
      </w: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Coordinadora – Alianza Calant Xarxes</w:t>
        <w:br w:type="textWrapping"/>
      </w: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w:t>
      </w:r>
      <w:hyperlink r:id="rId9">
        <w:r w:rsidDel="00000000" w:rsidR="00000000" w:rsidRPr="00000000">
          <w:rPr>
            <w:rFonts w:ascii="Times New Roman" w:cs="Times New Roman" w:eastAsia="Times New Roman" w:hAnsi="Times New Roman"/>
            <w:color w:val="0000ff"/>
            <w:u w:val="single"/>
            <w:rtl w:val="0"/>
          </w:rPr>
          <w:t xml:space="preserve">www.calantxarxes.org</w:t>
        </w:r>
      </w:hyperlink>
      <w:r w:rsidDel="00000000" w:rsidR="00000000" w:rsidRPr="00000000">
        <w:rPr>
          <w:rFonts w:ascii="Times New Roman" w:cs="Times New Roman" w:eastAsia="Times New Roman" w:hAnsi="Times New Roman"/>
          <w:rtl w:val="0"/>
        </w:rPr>
        <w:br w:type="textWrapping"/>
      </w: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elisa@calantxarxes.org</w:t>
      </w:r>
    </w:p>
    <w:p w:rsidR="00000000" w:rsidDel="00000000" w:rsidP="00000000" w:rsidRDefault="00000000" w:rsidRPr="00000000" w14:paraId="0000002D">
      <w:pPr>
        <w:rPr/>
      </w:pPr>
      <w:r w:rsidDel="00000000" w:rsidR="00000000" w:rsidRPr="00000000">
        <w:rPr>
          <w:rtl w:val="0"/>
        </w:rPr>
      </w:r>
    </w:p>
    <w:sectPr>
      <w:headerReference r:id="rId10" w:type="defaul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RE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tabs>
        <w:tab w:val="right" w:leader="none" w:pos="9020"/>
      </w:tabs>
      <w:ind w:left="-810" w:firstLine="0"/>
      <w:jc w:val="center"/>
      <w:rPr/>
    </w:pPr>
    <w:r w:rsidDel="00000000" w:rsidR="00000000" w:rsidRPr="00000000">
      <w:rPr>
        <w:rFonts w:ascii="Arial" w:cs="Arial" w:eastAsia="Arial" w:hAnsi="Arial"/>
        <w:sz w:val="22"/>
        <w:szCs w:val="22"/>
      </w:rPr>
      <w:drawing>
        <wp:inline distB="114300" distT="114300" distL="114300" distR="114300">
          <wp:extent cx="860108" cy="860108"/>
          <wp:effectExtent b="0" l="0" r="0" t="0"/>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860108" cy="860108"/>
                  </a:xfrm>
                  <a:prstGeom prst="rect"/>
                  <a:ln/>
                </pic:spPr>
              </pic:pic>
            </a:graphicData>
          </a:graphic>
        </wp:inline>
      </w:drawing>
    </w:r>
    <w:r w:rsidDel="00000000" w:rsidR="00000000" w:rsidRPr="00000000">
      <w:rPr>
        <w:rFonts w:ascii="Roboto" w:cs="Roboto" w:eastAsia="Roboto" w:hAnsi="Roboto"/>
        <w:sz w:val="22"/>
        <w:szCs w:val="22"/>
      </w:rPr>
      <w:drawing>
        <wp:inline distB="114300" distT="114300" distL="114300" distR="114300">
          <wp:extent cx="887723" cy="887723"/>
          <wp:effectExtent b="0" l="0" r="0" t="0"/>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87723" cy="887723"/>
                  </a:xfrm>
                  <a:prstGeom prst="rect"/>
                  <a:ln/>
                </pic:spPr>
              </pic:pic>
            </a:graphicData>
          </a:graphic>
        </wp:inline>
      </w:drawing>
    </w:r>
    <w:r w:rsidDel="00000000" w:rsidR="00000000" w:rsidRPr="00000000">
      <w:rPr>
        <w:rFonts w:ascii="Roboto" w:cs="Roboto" w:eastAsia="Roboto" w:hAnsi="Roboto"/>
        <w:sz w:val="22"/>
        <w:szCs w:val="22"/>
      </w:rPr>
      <w:drawing>
        <wp:inline distB="114300" distT="114300" distL="114300" distR="114300">
          <wp:extent cx="907733" cy="907733"/>
          <wp:effectExtent b="0" l="0" r="0" t="0"/>
          <wp:docPr id="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907733" cy="907733"/>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844387" cy="835405"/>
          <wp:effectExtent b="0" l="0" r="0" t="0"/>
          <wp:docPr id="2" name="image5.png"/>
          <a:graphic>
            <a:graphicData uri="http://schemas.openxmlformats.org/drawingml/2006/picture">
              <pic:pic>
                <pic:nvPicPr>
                  <pic:cNvPr id="0" name="image5.png"/>
                  <pic:cNvPicPr preferRelativeResize="0"/>
                </pic:nvPicPr>
                <pic:blipFill>
                  <a:blip r:embed="rId4"/>
                  <a:srcRect b="10981" l="10961" r="10465" t="10814"/>
                  <a:stretch>
                    <a:fillRect/>
                  </a:stretch>
                </pic:blipFill>
                <pic:spPr>
                  <a:xfrm>
                    <a:off x="0" y="0"/>
                    <a:ext cx="844387" cy="835405"/>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1139662" cy="904875"/>
          <wp:effectExtent b="0" l="0" r="0" t="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139662" cy="904875"/>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853912" cy="844924"/>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853912" cy="84492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35178D"/>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35178D"/>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unhideWhenUsed w:val="1"/>
    <w:qFormat w:val="1"/>
    <w:rsid w:val="0035178D"/>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35178D"/>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35178D"/>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35178D"/>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35178D"/>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35178D"/>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35178D"/>
    <w:pPr>
      <w:keepNext w:val="1"/>
      <w:keepLines w:val="1"/>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35178D"/>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35178D"/>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rsid w:val="0035178D"/>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35178D"/>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35178D"/>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35178D"/>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35178D"/>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35178D"/>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35178D"/>
    <w:rPr>
      <w:rFonts w:cstheme="majorBidi" w:eastAsiaTheme="majorEastAsia"/>
      <w:color w:val="272727" w:themeColor="text1" w:themeTint="0000D8"/>
    </w:rPr>
  </w:style>
  <w:style w:type="paragraph" w:styleId="Ttulo">
    <w:name w:val="Title"/>
    <w:basedOn w:val="Normal"/>
    <w:next w:val="Normal"/>
    <w:link w:val="TtuloCar"/>
    <w:uiPriority w:val="10"/>
    <w:qFormat w:val="1"/>
    <w:rsid w:val="0035178D"/>
    <w:pPr>
      <w:spacing w:after="80"/>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35178D"/>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35178D"/>
    <w:pPr>
      <w:numPr>
        <w:ilvl w:val="1"/>
      </w:numPr>
      <w:spacing w:after="160"/>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35178D"/>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35178D"/>
    <w:pPr>
      <w:spacing w:after="160" w:before="160"/>
      <w:jc w:val="center"/>
    </w:pPr>
    <w:rPr>
      <w:i w:val="1"/>
      <w:iCs w:val="1"/>
      <w:color w:val="404040" w:themeColor="text1" w:themeTint="0000BF"/>
    </w:rPr>
  </w:style>
  <w:style w:type="character" w:styleId="CitaCar" w:customStyle="1">
    <w:name w:val="Cita Car"/>
    <w:basedOn w:val="Fuentedeprrafopredeter"/>
    <w:link w:val="Cita"/>
    <w:uiPriority w:val="29"/>
    <w:rsid w:val="0035178D"/>
    <w:rPr>
      <w:i w:val="1"/>
      <w:iCs w:val="1"/>
      <w:color w:val="404040" w:themeColor="text1" w:themeTint="0000BF"/>
    </w:rPr>
  </w:style>
  <w:style w:type="paragraph" w:styleId="Prrafodelista">
    <w:name w:val="List Paragraph"/>
    <w:basedOn w:val="Normal"/>
    <w:uiPriority w:val="34"/>
    <w:qFormat w:val="1"/>
    <w:rsid w:val="0035178D"/>
    <w:pPr>
      <w:ind w:left="720"/>
      <w:contextualSpacing w:val="1"/>
    </w:pPr>
  </w:style>
  <w:style w:type="character" w:styleId="nfasisintenso">
    <w:name w:val="Intense Emphasis"/>
    <w:basedOn w:val="Fuentedeprrafopredeter"/>
    <w:uiPriority w:val="21"/>
    <w:qFormat w:val="1"/>
    <w:rsid w:val="0035178D"/>
    <w:rPr>
      <w:i w:val="1"/>
      <w:iCs w:val="1"/>
      <w:color w:val="0f4761" w:themeColor="accent1" w:themeShade="0000BF"/>
    </w:rPr>
  </w:style>
  <w:style w:type="paragraph" w:styleId="Citadestacada">
    <w:name w:val="Intense Quote"/>
    <w:basedOn w:val="Normal"/>
    <w:next w:val="Normal"/>
    <w:link w:val="CitadestacadaCar"/>
    <w:uiPriority w:val="30"/>
    <w:qFormat w:val="1"/>
    <w:rsid w:val="0035178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35178D"/>
    <w:rPr>
      <w:i w:val="1"/>
      <w:iCs w:val="1"/>
      <w:color w:val="0f4761" w:themeColor="accent1" w:themeShade="0000BF"/>
    </w:rPr>
  </w:style>
  <w:style w:type="character" w:styleId="Referenciaintensa">
    <w:name w:val="Intense Reference"/>
    <w:basedOn w:val="Fuentedeprrafopredeter"/>
    <w:uiPriority w:val="32"/>
    <w:qFormat w:val="1"/>
    <w:rsid w:val="0035178D"/>
    <w:rPr>
      <w:b w:val="1"/>
      <w:bCs w:val="1"/>
      <w:smallCaps w:val="1"/>
      <w:color w:val="0f4761" w:themeColor="accent1" w:themeShade="0000BF"/>
      <w:spacing w:val="5"/>
    </w:rPr>
  </w:style>
  <w:style w:type="character" w:styleId="Textoennegrita">
    <w:name w:val="Strong"/>
    <w:basedOn w:val="Fuentedeprrafopredeter"/>
    <w:uiPriority w:val="22"/>
    <w:qFormat w:val="1"/>
    <w:rsid w:val="0035178D"/>
    <w:rPr>
      <w:b w:val="1"/>
      <w:bCs w:val="1"/>
    </w:rPr>
  </w:style>
  <w:style w:type="character" w:styleId="Hipervnculo">
    <w:name w:val="Hyperlink"/>
    <w:basedOn w:val="Fuentedeprrafopredeter"/>
    <w:uiPriority w:val="99"/>
    <w:semiHidden w:val="1"/>
    <w:unhideWhenUsed w:val="1"/>
    <w:rsid w:val="0035178D"/>
    <w:rPr>
      <w:color w:val="0000ff"/>
      <w:u w:val="single"/>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8" Type="http://schemas.openxmlformats.org/officeDocument/2006/relationships/hyperlink" Target="http://www.calantxarxes.org/qr" TargetMode="External"/><Relationship Id="rId13" Type="http://schemas.openxmlformats.org/officeDocument/2006/relationships/customXml" Target="../customXML/item4.xml"/><Relationship Id="rId3" Type="http://schemas.openxmlformats.org/officeDocument/2006/relationships/fontTable" Target="fontTable.xml"/><Relationship Id="rId7" Type="http://schemas.openxmlformats.org/officeDocument/2006/relationships/hyperlink" Target="http://www.calantxarxes.org" TargetMode="Externa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hyperlink" Target="http://www.calantxarxe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EM-italic.ttf"/><Relationship Id="rId10" Type="http://schemas.openxmlformats.org/officeDocument/2006/relationships/font" Target="fonts/REM-bold.ttf"/><Relationship Id="rId12" Type="http://schemas.openxmlformats.org/officeDocument/2006/relationships/font" Target="fonts/REM-boldItalic.ttf"/><Relationship Id="rId9" Type="http://schemas.openxmlformats.org/officeDocument/2006/relationships/font" Target="fonts/REM-regular.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 Id="rId3" Type="http://schemas.openxmlformats.org/officeDocument/2006/relationships/image" Target="media/image6.png"/><Relationship Id="rId4" Type="http://schemas.openxmlformats.org/officeDocument/2006/relationships/image" Target="media/image5.png"/><Relationship Id="rId5" Type="http://schemas.openxmlformats.org/officeDocument/2006/relationships/image" Target="media/image4.png"/><Relationship Id="rId6"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HknE6YW3mAhe2WBfPO5wAW4LvQ==">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8A149A79C1D124B9C971A33AD32B69A" ma:contentTypeVersion="20" ma:contentTypeDescription="Crear nuevo documento." ma:contentTypeScope="" ma:versionID="98ec774646cc9be536ed7268d31bdb4c">
  <xsd:schema xmlns:xsd="http://www.w3.org/2001/XMLSchema" xmlns:xs="http://www.w3.org/2001/XMLSchema" xmlns:p="http://schemas.microsoft.com/office/2006/metadata/properties" xmlns:ns2="bc7f6ba3-41cb-40b7-af42-b411c12d8057" xmlns:ns3="efcedcf2-8618-4dd3-ad1e-045d7ec9992b" targetNamespace="http://schemas.microsoft.com/office/2006/metadata/properties" ma:root="true" ma:fieldsID="b6cca57eaba4ec8cf2c219e3d8d5808e" ns2:_="" ns3:_="">
    <xsd:import namespace="bc7f6ba3-41cb-40b7-af42-b411c12d8057"/>
    <xsd:import namespace="efcedcf2-8618-4dd3-ad1e-045d7ec999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f6ba3-41cb-40b7-af42-b411c12d8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85b503e-960e-4e51-8db6-4981fc5f78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cedcf2-8618-4dd3-ad1e-045d7ec999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0f7b24c-13b4-472c-9e39-cd08b26985f0}" ma:internalName="TaxCatchAll" ma:showField="CatchAllData" ma:web="efcedcf2-8618-4dd3-ad1e-045d7ec999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7f6ba3-41cb-40b7-af42-b411c12d8057">
      <Terms xmlns="http://schemas.microsoft.com/office/infopath/2007/PartnerControls"/>
    </lcf76f155ced4ddcb4097134ff3c332f>
    <TaxCatchAll xmlns="efcedcf2-8618-4dd3-ad1e-045d7ec9992b"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53B4BC-75F9-4D5A-BC6E-CFB22E947B2F}"/>
</file>

<file path=customXML/itemProps3.xml><?xml version="1.0" encoding="utf-8"?>
<ds:datastoreItem xmlns:ds="http://schemas.openxmlformats.org/officeDocument/2006/customXml" ds:itemID="{4B4550B1-E7B4-4946-BF36-CE1C2A059B32}"/>
</file>

<file path=customXML/itemProps4.xml><?xml version="1.0" encoding="utf-8"?>
<ds:datastoreItem xmlns:ds="http://schemas.openxmlformats.org/officeDocument/2006/customXml" ds:itemID="{34ABDE0B-6555-47D8-8B11-15CD0CFC4D7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Elisa Martinez Lahsen</dc:creator>
  <dcterms:created xsi:type="dcterms:W3CDTF">2025-04-25T06:54:00Z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0x01010028A149A79C1D124B9C971A33AD32B69A</vt:lpwstr>
  </property>
</Properties>
</file>