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EC6C9" w14:textId="7DCB772D" w:rsidR="00A97C94" w:rsidRDefault="00CF4CF0">
      <w:pPr>
        <w:pStyle w:val="Encabezado1"/>
        <w:jc w:val="center"/>
      </w:pPr>
      <w:r>
        <w:rPr>
          <w:i/>
          <w:iCs/>
          <w:color w:val="007161"/>
          <w:sz w:val="36"/>
          <w:szCs w:val="36"/>
        </w:rPr>
        <w:t xml:space="preserve">“Los expertos advierten que es esencial </w:t>
      </w:r>
      <w:r w:rsidR="00E52C9F">
        <w:rPr>
          <w:i/>
          <w:iCs/>
          <w:color w:val="007161"/>
          <w:sz w:val="36"/>
          <w:szCs w:val="36"/>
        </w:rPr>
        <w:t>continuar</w:t>
      </w:r>
      <w:r>
        <w:rPr>
          <w:i/>
          <w:iCs/>
          <w:color w:val="007161"/>
          <w:sz w:val="36"/>
          <w:szCs w:val="36"/>
        </w:rPr>
        <w:t xml:space="preserve"> financiando campañas de </w:t>
      </w:r>
      <w:r w:rsidR="00E52C9F">
        <w:rPr>
          <w:i/>
          <w:iCs/>
          <w:color w:val="007161"/>
          <w:sz w:val="36"/>
          <w:szCs w:val="36"/>
        </w:rPr>
        <w:t>estudio de la migración</w:t>
      </w:r>
      <w:r>
        <w:rPr>
          <w:i/>
          <w:iCs/>
          <w:color w:val="007161"/>
          <w:sz w:val="36"/>
          <w:szCs w:val="36"/>
        </w:rPr>
        <w:t xml:space="preserve"> en la Isla del Aire para identificar los posibles efectos del cambio climático </w:t>
      </w:r>
      <w:r w:rsidR="00FB5D29">
        <w:rPr>
          <w:i/>
          <w:iCs/>
          <w:color w:val="007161"/>
          <w:sz w:val="36"/>
          <w:szCs w:val="36"/>
        </w:rPr>
        <w:t>sobre las poblaciones de estas aves migratorias</w:t>
      </w:r>
      <w:r>
        <w:rPr>
          <w:i/>
          <w:iCs/>
          <w:color w:val="007161"/>
          <w:sz w:val="36"/>
          <w:szCs w:val="36"/>
        </w:rPr>
        <w:t>”</w:t>
      </w:r>
    </w:p>
    <w:p w14:paraId="0D2EC6CA" w14:textId="77777777" w:rsidR="00A97C94" w:rsidRDefault="00A97C94">
      <w:pPr>
        <w:pStyle w:val="Predeterminado"/>
      </w:pPr>
    </w:p>
    <w:p w14:paraId="0D2EC6CB" w14:textId="77777777" w:rsidR="00A97C94" w:rsidRDefault="00CF4CF0">
      <w:pPr>
        <w:pStyle w:val="Predeterminado"/>
      </w:pPr>
      <w:r>
        <w:t>Isla del Aire, 14 de mayo de 2024</w:t>
      </w:r>
    </w:p>
    <w:p w14:paraId="0D2EC6CC" w14:textId="588631FB" w:rsidR="00A97C94" w:rsidRPr="00FB5D29" w:rsidRDefault="00CF4CF0">
      <w:pPr>
        <w:pStyle w:val="Predeterminado"/>
        <w:jc w:val="both"/>
      </w:pPr>
      <w:r w:rsidRPr="00FB5D29">
        <w:t xml:space="preserve">La campaña de anillamiento de aves para el </w:t>
      </w:r>
      <w:r w:rsidRPr="00FB5D29">
        <w:rPr>
          <w:b/>
          <w:bCs/>
        </w:rPr>
        <w:t>Estudio de la migración prenupcial en la Isla del Aire</w:t>
      </w:r>
      <w:r w:rsidRPr="00FB5D29">
        <w:t xml:space="preserve"> llevado a cabo por la </w:t>
      </w:r>
      <w:proofErr w:type="spellStart"/>
      <w:r w:rsidRPr="00FB5D29">
        <w:rPr>
          <w:b/>
          <w:bCs/>
        </w:rPr>
        <w:t>Societat</w:t>
      </w:r>
      <w:proofErr w:type="spellEnd"/>
      <w:r w:rsidRPr="00FB5D29">
        <w:rPr>
          <w:b/>
          <w:bCs/>
        </w:rPr>
        <w:t xml:space="preserve"> </w:t>
      </w:r>
      <w:proofErr w:type="spellStart"/>
      <w:r w:rsidRPr="00FB5D29">
        <w:rPr>
          <w:b/>
          <w:bCs/>
        </w:rPr>
        <w:t>Ornitològica</w:t>
      </w:r>
      <w:proofErr w:type="spellEnd"/>
      <w:r w:rsidRPr="00FB5D29">
        <w:rPr>
          <w:b/>
          <w:bCs/>
        </w:rPr>
        <w:t xml:space="preserve"> de Menorca (SOM),</w:t>
      </w:r>
      <w:r w:rsidRPr="00FB5D29">
        <w:t xml:space="preserve"> con el apoyo de </w:t>
      </w:r>
      <w:r w:rsidRPr="00FB5D29">
        <w:rPr>
          <w:b/>
          <w:bCs/>
        </w:rPr>
        <w:t xml:space="preserve">Menorca </w:t>
      </w:r>
      <w:proofErr w:type="spellStart"/>
      <w:r w:rsidRPr="00FB5D29">
        <w:rPr>
          <w:b/>
          <w:bCs/>
        </w:rPr>
        <w:t>Preservation</w:t>
      </w:r>
      <w:proofErr w:type="spellEnd"/>
      <w:r w:rsidRPr="00FB5D29">
        <w:t>, ha presenciado una bajada generalizada del número de aves anilladas, así como del número de especies registradas</w:t>
      </w:r>
      <w:r w:rsidR="00E84CFB">
        <w:t>, durante esta migración</w:t>
      </w:r>
      <w:r w:rsidRPr="00FB5D29">
        <w:t xml:space="preserve">. Así, los resultados globales de anillamientos indican una </w:t>
      </w:r>
      <w:r w:rsidRPr="00FB5D29">
        <w:rPr>
          <w:b/>
          <w:bCs/>
        </w:rPr>
        <w:t>disminución de más del 44% de la media de capturas históricas del estudio</w:t>
      </w:r>
      <w:r w:rsidRPr="00FB5D29">
        <w:t>, a tres días de concluir el trabajo de campo, que lleva desarrollándose en las mismas condiciones y metodología desde el 1995.</w:t>
      </w:r>
    </w:p>
    <w:p w14:paraId="0D2EC6CD" w14:textId="77777777" w:rsidR="00A97C94" w:rsidRDefault="00CF4CF0">
      <w:pPr>
        <w:pStyle w:val="Predeterminado"/>
        <w:jc w:val="both"/>
      </w:pPr>
      <w:r>
        <w:t xml:space="preserve">Los expertos advierten que no pueden sacar conclusiones globales basándose solamente en los datos de esta campaña y sin tener en cuenta otras estaciones de estudio situadas en los distintos puntos clave de la travesía migratoria de estas aves. Aun así, sospechan que </w:t>
      </w:r>
      <w:r>
        <w:rPr>
          <w:b/>
          <w:bCs/>
        </w:rPr>
        <w:t>los efectos del cambio climático podrían ser el origen de este declive de capturas</w:t>
      </w:r>
      <w:r>
        <w:t xml:space="preserve">. La escasez de lluvias en otoño en el área del Sahel (zona de hibernación de la mayoría de </w:t>
      </w:r>
      <w:proofErr w:type="gramStart"/>
      <w:r>
        <w:t>aves</w:t>
      </w:r>
      <w:proofErr w:type="gramEnd"/>
      <w:r>
        <w:t xml:space="preserve"> paseriformes </w:t>
      </w:r>
      <w:proofErr w:type="spellStart"/>
      <w:r>
        <w:t>nidificantes</w:t>
      </w:r>
      <w:proofErr w:type="spellEnd"/>
      <w:r>
        <w:t xml:space="preserve"> en Europa) y la ola de calor de finales de invierno en la misma zona, con récords de temperatura muy significativos, parece que podrían ser algunas de las principales causas de esta importante bajada de capturas. </w:t>
      </w:r>
    </w:p>
    <w:p w14:paraId="0D2EC6CE" w14:textId="2B614D5D" w:rsidR="00A97C94" w:rsidRPr="00FB5D29" w:rsidRDefault="00CF4CF0">
      <w:pPr>
        <w:pStyle w:val="Predeterminado"/>
        <w:jc w:val="both"/>
      </w:pPr>
      <w:r w:rsidRPr="00FB5D29">
        <w:t xml:space="preserve">Por esto, los expertos </w:t>
      </w:r>
      <w:r w:rsidRPr="00FB5D29">
        <w:rPr>
          <w:b/>
          <w:bCs/>
        </w:rPr>
        <w:t>consideran</w:t>
      </w:r>
      <w:r w:rsidRPr="00FB5D29">
        <w:t xml:space="preserve"> </w:t>
      </w:r>
      <w:r w:rsidRPr="00FB5D29">
        <w:rPr>
          <w:b/>
          <w:bCs/>
        </w:rPr>
        <w:t>esencial proteger y preservar las pequeñas islas del Mediterráneo, c</w:t>
      </w:r>
      <w:r w:rsidR="00FB5D29">
        <w:rPr>
          <w:b/>
          <w:bCs/>
        </w:rPr>
        <w:t>o</w:t>
      </w:r>
      <w:r w:rsidRPr="00FB5D29">
        <w:rPr>
          <w:b/>
          <w:bCs/>
        </w:rPr>
        <w:t>mo la Isla del Aire, c</w:t>
      </w:r>
      <w:r w:rsidR="00FB5D29">
        <w:rPr>
          <w:b/>
          <w:bCs/>
        </w:rPr>
        <w:t>o</w:t>
      </w:r>
      <w:r w:rsidRPr="00FB5D29">
        <w:rPr>
          <w:b/>
          <w:bCs/>
        </w:rPr>
        <w:t xml:space="preserve">mo </w:t>
      </w:r>
      <w:r w:rsidR="00FB5D29">
        <w:rPr>
          <w:b/>
          <w:bCs/>
        </w:rPr>
        <w:t>“</w:t>
      </w:r>
      <w:r w:rsidRPr="00FB5D29">
        <w:rPr>
          <w:b/>
          <w:bCs/>
        </w:rPr>
        <w:t>lugares de sumo interés</w:t>
      </w:r>
      <w:r w:rsidR="00FB5D29">
        <w:rPr>
          <w:b/>
          <w:bCs/>
        </w:rPr>
        <w:t>”</w:t>
      </w:r>
      <w:r w:rsidRPr="00FB5D29">
        <w:rPr>
          <w:b/>
          <w:bCs/>
        </w:rPr>
        <w:t xml:space="preserve"> para la conservación de las pequeñas aves migratorias, así como seguir financiando este tipo de estudios, para tener datos propios y rigurosos y poder hacer un seguimiento de los posibles efectos del cambio climático en este entorno natural tan importante para la supervivencia de muchas de estas especies</w:t>
      </w:r>
      <w:r w:rsidRPr="00FB5D29">
        <w:t xml:space="preserve">.  </w:t>
      </w:r>
    </w:p>
    <w:p w14:paraId="0D2EC6CF" w14:textId="77777777" w:rsidR="00A97C94" w:rsidRDefault="00CF4CF0">
      <w:pPr>
        <w:pStyle w:val="Predeterminado"/>
        <w:jc w:val="both"/>
      </w:pPr>
      <w:r>
        <w:rPr>
          <w:b/>
          <w:bCs/>
          <w:color w:val="007161"/>
          <w:sz w:val="24"/>
          <w:szCs w:val="24"/>
        </w:rPr>
        <w:t xml:space="preserve">Los anillamientos de aves migrantes </w:t>
      </w:r>
      <w:proofErr w:type="spellStart"/>
      <w:r>
        <w:rPr>
          <w:b/>
          <w:bCs/>
          <w:color w:val="007161"/>
          <w:sz w:val="24"/>
          <w:szCs w:val="24"/>
        </w:rPr>
        <w:t>presaharianas</w:t>
      </w:r>
      <w:proofErr w:type="spellEnd"/>
      <w:r>
        <w:rPr>
          <w:b/>
          <w:bCs/>
          <w:color w:val="007161"/>
          <w:sz w:val="24"/>
          <w:szCs w:val="24"/>
        </w:rPr>
        <w:t>, los que más han disminuido</w:t>
      </w:r>
    </w:p>
    <w:p w14:paraId="0D2EC6D0" w14:textId="6371E848" w:rsidR="00A97C94" w:rsidRPr="00DE6C04" w:rsidRDefault="00CF4CF0">
      <w:pPr>
        <w:pStyle w:val="Predeterminado"/>
        <w:jc w:val="both"/>
      </w:pPr>
      <w:r w:rsidRPr="00DE6C04">
        <w:t xml:space="preserve">El </w:t>
      </w:r>
      <w:r w:rsidRPr="00DE6C04">
        <w:rPr>
          <w:b/>
          <w:bCs/>
        </w:rPr>
        <w:t>petirrojo</w:t>
      </w:r>
      <w:r w:rsidRPr="00DE6C04">
        <w:t xml:space="preserve"> (</w:t>
      </w:r>
      <w:proofErr w:type="spellStart"/>
      <w:r w:rsidRPr="00DE6C04">
        <w:rPr>
          <w:i/>
          <w:iCs/>
        </w:rPr>
        <w:t>Erithacus</w:t>
      </w:r>
      <w:proofErr w:type="spellEnd"/>
      <w:r w:rsidRPr="00DE6C04">
        <w:rPr>
          <w:i/>
          <w:iCs/>
        </w:rPr>
        <w:t xml:space="preserve"> </w:t>
      </w:r>
      <w:proofErr w:type="spellStart"/>
      <w:r w:rsidRPr="00DE6C04">
        <w:rPr>
          <w:i/>
          <w:iCs/>
        </w:rPr>
        <w:t>rubecula</w:t>
      </w:r>
      <w:proofErr w:type="spellEnd"/>
      <w:r w:rsidRPr="00DE6C04">
        <w:t>)</w:t>
      </w:r>
      <w:r w:rsidR="005D0FB2">
        <w:t xml:space="preserve"> -94,9%</w:t>
      </w:r>
      <w:r w:rsidRPr="00DE6C04">
        <w:t xml:space="preserve">, el </w:t>
      </w:r>
      <w:r w:rsidRPr="00DE6C04">
        <w:rPr>
          <w:b/>
          <w:bCs/>
        </w:rPr>
        <w:t xml:space="preserve">mosquitero común </w:t>
      </w:r>
      <w:r w:rsidRPr="00DE6C04">
        <w:t>(</w:t>
      </w:r>
      <w:proofErr w:type="spellStart"/>
      <w:r w:rsidRPr="00DE6C04">
        <w:rPr>
          <w:i/>
          <w:iCs/>
        </w:rPr>
        <w:t>Phylloscopus</w:t>
      </w:r>
      <w:proofErr w:type="spellEnd"/>
      <w:r w:rsidRPr="00DE6C04">
        <w:rPr>
          <w:i/>
          <w:iCs/>
        </w:rPr>
        <w:t xml:space="preserve"> </w:t>
      </w:r>
      <w:proofErr w:type="spellStart"/>
      <w:r w:rsidRPr="00DE6C04">
        <w:rPr>
          <w:i/>
          <w:iCs/>
        </w:rPr>
        <w:t>collybita</w:t>
      </w:r>
      <w:proofErr w:type="spellEnd"/>
      <w:r w:rsidRPr="00DE6C04">
        <w:t xml:space="preserve">) </w:t>
      </w:r>
      <w:r w:rsidR="005D0FB2">
        <w:t xml:space="preserve">-50,9% </w:t>
      </w:r>
      <w:r w:rsidRPr="00DE6C04">
        <w:t xml:space="preserve">o la </w:t>
      </w:r>
      <w:r w:rsidRPr="00DE6C04">
        <w:rPr>
          <w:b/>
          <w:bCs/>
        </w:rPr>
        <w:t>curruca capirotada</w:t>
      </w:r>
      <w:r w:rsidRPr="00DE6C04">
        <w:t xml:space="preserve"> (</w:t>
      </w:r>
      <w:r w:rsidRPr="00DE6C04">
        <w:rPr>
          <w:i/>
          <w:iCs/>
        </w:rPr>
        <w:t xml:space="preserve">Sylvia </w:t>
      </w:r>
      <w:proofErr w:type="spellStart"/>
      <w:r w:rsidRPr="00DE6C04">
        <w:rPr>
          <w:i/>
          <w:iCs/>
        </w:rPr>
        <w:t>atricapilla</w:t>
      </w:r>
      <w:proofErr w:type="spellEnd"/>
      <w:r w:rsidRPr="00DE6C04">
        <w:t xml:space="preserve">) </w:t>
      </w:r>
      <w:r w:rsidR="00D8497F">
        <w:t xml:space="preserve">-70,9%, </w:t>
      </w:r>
      <w:r w:rsidRPr="00DE6C04">
        <w:t xml:space="preserve">son las tres especies más abundantes y representativas de este grupo de migrantes. Sin embargo, este año se han anillado </w:t>
      </w:r>
      <w:r w:rsidR="003D19DD">
        <w:t>muy</w:t>
      </w:r>
      <w:r w:rsidRPr="00DE6C04">
        <w:t xml:space="preserve"> por debajo de los números históricos (1995-2024). Estas aves migran desde el norte </w:t>
      </w:r>
      <w:r w:rsidR="003D19DD">
        <w:t xml:space="preserve">al centro </w:t>
      </w:r>
      <w:proofErr w:type="spellStart"/>
      <w:r w:rsidRPr="00DE6C04">
        <w:t>de E</w:t>
      </w:r>
      <w:proofErr w:type="spellEnd"/>
      <w:r w:rsidRPr="00DE6C04">
        <w:t xml:space="preserve">uropa al área Mediterránea y el norte de África (sin </w:t>
      </w:r>
      <w:r w:rsidR="003D19DD">
        <w:t xml:space="preserve">llegar a </w:t>
      </w:r>
      <w:r w:rsidRPr="00DE6C04">
        <w:t xml:space="preserve">atravesar el desierto del Sáhara) y, a pesar de que la migración de este grupo de </w:t>
      </w:r>
      <w:r w:rsidR="00522A2A">
        <w:t>aves</w:t>
      </w:r>
      <w:r w:rsidRPr="00DE6C04">
        <w:t xml:space="preserve">, que se produce básicamente durante el mes </w:t>
      </w:r>
      <w:r w:rsidRPr="00DE6C04">
        <w:lastRenderedPageBreak/>
        <w:t>de marzo, podría conllevar algunas variaciones</w:t>
      </w:r>
      <w:r w:rsidR="00522A2A">
        <w:t xml:space="preserve"> debidas a la fecha de inicio de nuestra campaña</w:t>
      </w:r>
      <w:r w:rsidRPr="00DE6C04">
        <w:t>, los expertos nunca habían registrado unos resultados tan bajos.</w:t>
      </w:r>
    </w:p>
    <w:p w14:paraId="0D2EC6D1" w14:textId="77777777" w:rsidR="00A97C94" w:rsidRDefault="00CF4CF0">
      <w:pPr>
        <w:pStyle w:val="Predeterminado"/>
        <w:jc w:val="both"/>
      </w:pPr>
      <w:r>
        <w:rPr>
          <w:b/>
          <w:bCs/>
          <w:color w:val="007161"/>
          <w:sz w:val="24"/>
          <w:szCs w:val="24"/>
        </w:rPr>
        <w:t xml:space="preserve">Las especies transaharianas también han mostrado un descenso </w:t>
      </w:r>
    </w:p>
    <w:p w14:paraId="0D2EC6D2" w14:textId="77063141" w:rsidR="00A97C94" w:rsidRDefault="00CF4CF0">
      <w:pPr>
        <w:pStyle w:val="Predeterminado"/>
        <w:jc w:val="both"/>
      </w:pPr>
      <w:r>
        <w:t xml:space="preserve">Estas aves migran del continente europeo hasta más allá del desierto del Sáhara, en algunos casos llegando hasta Sudáfrica, constituyen el grupo de aves que los expertos buscan estudiar a través de este Estudio. El 61% de las capturas totales del Estudio desde su inicio lo conforman las capturas del </w:t>
      </w:r>
      <w:r>
        <w:rPr>
          <w:b/>
          <w:bCs/>
        </w:rPr>
        <w:t>mosquitero musical</w:t>
      </w:r>
      <w:r>
        <w:t xml:space="preserve"> (</w:t>
      </w:r>
      <w:proofErr w:type="spellStart"/>
      <w:r>
        <w:rPr>
          <w:i/>
          <w:iCs/>
        </w:rPr>
        <w:t>Phylloscopus</w:t>
      </w:r>
      <w:proofErr w:type="spellEnd"/>
      <w:r>
        <w:rPr>
          <w:i/>
          <w:iCs/>
        </w:rPr>
        <w:t xml:space="preserve"> </w:t>
      </w:r>
      <w:proofErr w:type="spellStart"/>
      <w:r>
        <w:rPr>
          <w:i/>
          <w:iCs/>
        </w:rPr>
        <w:t>trochilus</w:t>
      </w:r>
      <w:proofErr w:type="spellEnd"/>
      <w:r>
        <w:t>)</w:t>
      </w:r>
      <w:r w:rsidR="00330EFB">
        <w:t xml:space="preserve"> -43,5%</w:t>
      </w:r>
      <w:r>
        <w:t xml:space="preserve">, el </w:t>
      </w:r>
      <w:r>
        <w:rPr>
          <w:b/>
          <w:bCs/>
        </w:rPr>
        <w:t>colirrojo real</w:t>
      </w:r>
      <w:r>
        <w:t xml:space="preserve"> (</w:t>
      </w:r>
      <w:proofErr w:type="spellStart"/>
      <w:r>
        <w:rPr>
          <w:i/>
          <w:iCs/>
        </w:rPr>
        <w:t>Phoenicurus</w:t>
      </w:r>
      <w:proofErr w:type="spellEnd"/>
      <w:r>
        <w:rPr>
          <w:i/>
          <w:iCs/>
        </w:rPr>
        <w:t xml:space="preserve"> </w:t>
      </w:r>
      <w:proofErr w:type="spellStart"/>
      <w:r>
        <w:rPr>
          <w:i/>
          <w:iCs/>
        </w:rPr>
        <w:t>phoenicurus</w:t>
      </w:r>
      <w:proofErr w:type="spellEnd"/>
      <w:r>
        <w:t>)</w:t>
      </w:r>
      <w:r w:rsidR="00330EFB">
        <w:t xml:space="preserve"> -30,7%</w:t>
      </w:r>
      <w:r>
        <w:t xml:space="preserve">, el </w:t>
      </w:r>
      <w:r>
        <w:rPr>
          <w:b/>
          <w:bCs/>
        </w:rPr>
        <w:t>ruiseñor</w:t>
      </w:r>
      <w:r>
        <w:t xml:space="preserve"> (</w:t>
      </w:r>
      <w:proofErr w:type="spellStart"/>
      <w:r>
        <w:rPr>
          <w:i/>
          <w:iCs/>
        </w:rPr>
        <w:t>Luscinia</w:t>
      </w:r>
      <w:proofErr w:type="spellEnd"/>
      <w:r>
        <w:rPr>
          <w:i/>
          <w:iCs/>
        </w:rPr>
        <w:t xml:space="preserve"> </w:t>
      </w:r>
      <w:proofErr w:type="spellStart"/>
      <w:r>
        <w:rPr>
          <w:i/>
          <w:iCs/>
        </w:rPr>
        <w:t>megarhynchos</w:t>
      </w:r>
      <w:proofErr w:type="spellEnd"/>
      <w:r>
        <w:t>)</w:t>
      </w:r>
      <w:r w:rsidR="00330EFB">
        <w:t xml:space="preserve"> -37,3%</w:t>
      </w:r>
      <w:r>
        <w:t xml:space="preserve">, la </w:t>
      </w:r>
      <w:r>
        <w:rPr>
          <w:b/>
          <w:bCs/>
        </w:rPr>
        <w:t>curruca carrasqueña</w:t>
      </w:r>
      <w:r w:rsidR="001C3F1C">
        <w:rPr>
          <w:b/>
          <w:bCs/>
        </w:rPr>
        <w:t>*</w:t>
      </w:r>
      <w:r>
        <w:t xml:space="preserve"> (</w:t>
      </w:r>
      <w:r>
        <w:rPr>
          <w:i/>
          <w:iCs/>
        </w:rPr>
        <w:t xml:space="preserve">Curruca </w:t>
      </w:r>
      <w:proofErr w:type="spellStart"/>
      <w:r>
        <w:rPr>
          <w:i/>
          <w:iCs/>
        </w:rPr>
        <w:t>cantillans</w:t>
      </w:r>
      <w:proofErr w:type="spellEnd"/>
      <w:r>
        <w:rPr>
          <w:i/>
          <w:iCs/>
        </w:rPr>
        <w:t>, Curruca subalpina</w:t>
      </w:r>
      <w:r>
        <w:t xml:space="preserve"> y </w:t>
      </w:r>
      <w:r>
        <w:rPr>
          <w:i/>
          <w:iCs/>
        </w:rPr>
        <w:t xml:space="preserve">Curruca </w:t>
      </w:r>
      <w:proofErr w:type="spellStart"/>
      <w:r>
        <w:rPr>
          <w:i/>
          <w:iCs/>
        </w:rPr>
        <w:t>iberiae</w:t>
      </w:r>
      <w:proofErr w:type="spellEnd"/>
      <w:r>
        <w:t>)</w:t>
      </w:r>
      <w:r w:rsidR="00DC2126">
        <w:t>-43,9%</w:t>
      </w:r>
      <w:r>
        <w:t xml:space="preserve"> y la </w:t>
      </w:r>
      <w:r>
        <w:rPr>
          <w:b/>
          <w:bCs/>
        </w:rPr>
        <w:t xml:space="preserve">curruca </w:t>
      </w:r>
      <w:proofErr w:type="spellStart"/>
      <w:r>
        <w:rPr>
          <w:b/>
          <w:bCs/>
        </w:rPr>
        <w:t>zarzera</w:t>
      </w:r>
      <w:proofErr w:type="spellEnd"/>
      <w:r>
        <w:t xml:space="preserve"> (</w:t>
      </w:r>
      <w:r>
        <w:rPr>
          <w:i/>
          <w:iCs/>
        </w:rPr>
        <w:t xml:space="preserve">Curruca </w:t>
      </w:r>
      <w:proofErr w:type="spellStart"/>
      <w:r>
        <w:rPr>
          <w:i/>
          <w:iCs/>
        </w:rPr>
        <w:t>communis</w:t>
      </w:r>
      <w:proofErr w:type="spellEnd"/>
      <w:r>
        <w:t>)</w:t>
      </w:r>
      <w:r w:rsidR="00DC2126">
        <w:t xml:space="preserve"> -48,7%</w:t>
      </w:r>
      <w:r>
        <w:t xml:space="preserve">. </w:t>
      </w:r>
    </w:p>
    <w:p w14:paraId="2B14E197" w14:textId="604BBF0F" w:rsidR="00614450" w:rsidRDefault="00297230">
      <w:pPr>
        <w:pStyle w:val="Predeterminado"/>
        <w:jc w:val="both"/>
      </w:pPr>
      <w:r>
        <w:t>E</w:t>
      </w:r>
      <w:r w:rsidR="00CF4CF0" w:rsidRPr="00CF4CF0">
        <w:t xml:space="preserve">l </w:t>
      </w:r>
      <w:r w:rsidR="00CF4CF0" w:rsidRPr="00CF4CF0">
        <w:rPr>
          <w:b/>
          <w:bCs/>
        </w:rPr>
        <w:t>papamoscas cerrojillo</w:t>
      </w:r>
      <w:r w:rsidR="00CF4CF0" w:rsidRPr="00CF4CF0">
        <w:t xml:space="preserve"> (</w:t>
      </w:r>
      <w:proofErr w:type="spellStart"/>
      <w:r w:rsidR="00CF4CF0" w:rsidRPr="00CF4CF0">
        <w:rPr>
          <w:i/>
          <w:iCs/>
        </w:rPr>
        <w:t>Ficedula</w:t>
      </w:r>
      <w:proofErr w:type="spellEnd"/>
      <w:r w:rsidR="00CF4CF0" w:rsidRPr="00CF4CF0">
        <w:rPr>
          <w:i/>
          <w:iCs/>
        </w:rPr>
        <w:t xml:space="preserve"> </w:t>
      </w:r>
      <w:proofErr w:type="spellStart"/>
      <w:r w:rsidR="00CF4CF0" w:rsidRPr="00CF4CF0">
        <w:rPr>
          <w:i/>
          <w:iCs/>
        </w:rPr>
        <w:t>hypoleuca</w:t>
      </w:r>
      <w:proofErr w:type="spellEnd"/>
      <w:r w:rsidR="00CF4CF0" w:rsidRPr="00CF4CF0">
        <w:t>)</w:t>
      </w:r>
      <w:r>
        <w:t xml:space="preserve"> +24,3%</w:t>
      </w:r>
      <w:r w:rsidR="00CF4CF0" w:rsidRPr="00CF4CF0">
        <w:t xml:space="preserve"> y </w:t>
      </w:r>
      <w:r w:rsidR="00CF4CF0" w:rsidRPr="00CF4CF0">
        <w:rPr>
          <w:b/>
          <w:bCs/>
        </w:rPr>
        <w:t>papamoscas gris</w:t>
      </w:r>
      <w:r>
        <w:rPr>
          <w:b/>
          <w:bCs/>
        </w:rPr>
        <w:t>*</w:t>
      </w:r>
      <w:r w:rsidR="007141C1">
        <w:rPr>
          <w:b/>
          <w:bCs/>
        </w:rPr>
        <w:t>*</w:t>
      </w:r>
      <w:r w:rsidR="00CF4CF0" w:rsidRPr="00CF4CF0">
        <w:t xml:space="preserve"> (</w:t>
      </w:r>
      <w:proofErr w:type="spellStart"/>
      <w:r w:rsidR="00CF4CF0" w:rsidRPr="00CF4CF0">
        <w:rPr>
          <w:i/>
          <w:iCs/>
        </w:rPr>
        <w:t>Muscicapa</w:t>
      </w:r>
      <w:proofErr w:type="spellEnd"/>
      <w:r w:rsidR="00CF4CF0" w:rsidRPr="00CF4CF0">
        <w:rPr>
          <w:i/>
          <w:iCs/>
        </w:rPr>
        <w:t xml:space="preserve"> </w:t>
      </w:r>
      <w:proofErr w:type="spellStart"/>
      <w:r w:rsidR="00CF4CF0" w:rsidRPr="00CF4CF0">
        <w:rPr>
          <w:i/>
          <w:iCs/>
        </w:rPr>
        <w:t>striata</w:t>
      </w:r>
      <w:proofErr w:type="spellEnd"/>
      <w:r w:rsidR="00CF4CF0" w:rsidRPr="00CF4CF0">
        <w:rPr>
          <w:i/>
          <w:iCs/>
        </w:rPr>
        <w:t>/</w:t>
      </w:r>
      <w:proofErr w:type="spellStart"/>
      <w:r w:rsidR="00CF4CF0" w:rsidRPr="00CF4CF0">
        <w:rPr>
          <w:i/>
          <w:iCs/>
        </w:rPr>
        <w:t>tyrrhenica</w:t>
      </w:r>
      <w:proofErr w:type="spellEnd"/>
      <w:r w:rsidR="00CF4CF0" w:rsidRPr="00CF4CF0">
        <w:t>)</w:t>
      </w:r>
      <w:r>
        <w:t xml:space="preserve"> +37%</w:t>
      </w:r>
      <w:r w:rsidR="00CF4CF0" w:rsidRPr="00CF4CF0">
        <w:t>, son las dos únicas especies consideradas abundantes dentro del estudio que se han situado ligeramente por encima de la media histórica</w:t>
      </w:r>
      <w:r w:rsidR="001C3F1C">
        <w:t xml:space="preserve">, </w:t>
      </w:r>
      <w:r w:rsidR="00CF4CF0" w:rsidRPr="00CF4CF0">
        <w:t>siempre con datos del día 12 de mayo, tres días antes de acabar la campaña.</w:t>
      </w:r>
    </w:p>
    <w:p w14:paraId="0D2EC6D4" w14:textId="77777777" w:rsidR="00A97C94" w:rsidRDefault="00CF4CF0">
      <w:pPr>
        <w:pStyle w:val="Predeterminado"/>
        <w:jc w:val="both"/>
      </w:pPr>
      <w:r>
        <w:rPr>
          <w:b/>
          <w:bCs/>
          <w:color w:val="007161"/>
          <w:sz w:val="24"/>
          <w:szCs w:val="24"/>
        </w:rPr>
        <w:t>Una nueva especie registrada y dos especies raras anilladas</w:t>
      </w:r>
    </w:p>
    <w:p w14:paraId="0D2EC6D5" w14:textId="0C7A95E7" w:rsidR="00A97C94" w:rsidRDefault="00CF4CF0">
      <w:pPr>
        <w:pStyle w:val="Predeterminado"/>
        <w:jc w:val="both"/>
      </w:pPr>
      <w:r>
        <w:t xml:space="preserve">El </w:t>
      </w:r>
      <w:r>
        <w:rPr>
          <w:b/>
          <w:bCs/>
        </w:rPr>
        <w:t>herrerillo común</w:t>
      </w:r>
      <w:r>
        <w:t xml:space="preserve"> (</w:t>
      </w:r>
      <w:proofErr w:type="spellStart"/>
      <w:r>
        <w:rPr>
          <w:i/>
          <w:iCs/>
        </w:rPr>
        <w:t>Cyanistes</w:t>
      </w:r>
      <w:proofErr w:type="spellEnd"/>
      <w:r>
        <w:rPr>
          <w:i/>
          <w:iCs/>
        </w:rPr>
        <w:t xml:space="preserve"> </w:t>
      </w:r>
      <w:proofErr w:type="spellStart"/>
      <w:r>
        <w:rPr>
          <w:i/>
          <w:iCs/>
        </w:rPr>
        <w:t>caeruleus</w:t>
      </w:r>
      <w:proofErr w:type="spellEnd"/>
      <w:r>
        <w:t xml:space="preserve">), una especie muy común en la península y que incluso cría en </w:t>
      </w:r>
      <w:proofErr w:type="gramStart"/>
      <w:r>
        <w:t>Mallorca,</w:t>
      </w:r>
      <w:proofErr w:type="gramEnd"/>
      <w:r>
        <w:t xml:space="preserve"> ha sido </w:t>
      </w:r>
      <w:r w:rsidR="001E0F2A">
        <w:t>identificada y anillada</w:t>
      </w:r>
      <w:r>
        <w:t xml:space="preserve"> por primera vez en Menorca gracias a la campaña de este año. Por otro lado, también se han anillado dos especies consideradas raras en el estado español: la </w:t>
      </w:r>
      <w:r>
        <w:rPr>
          <w:b/>
          <w:bCs/>
        </w:rPr>
        <w:t xml:space="preserve">curruca </w:t>
      </w:r>
      <w:proofErr w:type="spellStart"/>
      <w:r>
        <w:rPr>
          <w:b/>
          <w:bCs/>
        </w:rPr>
        <w:t>zarzerilla</w:t>
      </w:r>
      <w:proofErr w:type="spellEnd"/>
      <w:r>
        <w:t xml:space="preserve"> (</w:t>
      </w:r>
      <w:r>
        <w:rPr>
          <w:i/>
          <w:iCs/>
        </w:rPr>
        <w:t>Curruca curruca</w:t>
      </w:r>
      <w:r>
        <w:t xml:space="preserve">) y el </w:t>
      </w:r>
      <w:r>
        <w:rPr>
          <w:b/>
          <w:bCs/>
        </w:rPr>
        <w:t>papamoscas collarino</w:t>
      </w:r>
      <w:r>
        <w:t xml:space="preserve"> (</w:t>
      </w:r>
      <w:proofErr w:type="spellStart"/>
      <w:r>
        <w:rPr>
          <w:i/>
          <w:iCs/>
        </w:rPr>
        <w:t>Ficedula</w:t>
      </w:r>
      <w:proofErr w:type="spellEnd"/>
      <w:r>
        <w:rPr>
          <w:i/>
          <w:iCs/>
        </w:rPr>
        <w:t xml:space="preserve"> </w:t>
      </w:r>
      <w:proofErr w:type="spellStart"/>
      <w:r>
        <w:rPr>
          <w:i/>
          <w:iCs/>
        </w:rPr>
        <w:t>albicollis</w:t>
      </w:r>
      <w:proofErr w:type="spellEnd"/>
      <w:r>
        <w:t xml:space="preserve">), de los cuales se han anillado 13 ejemplares, 11 de los cuales en un mismo día. El Estudio solamente contaba con 13 ejemplares anillados hasta la fecha </w:t>
      </w:r>
      <w:r w:rsidR="00A875B7">
        <w:t xml:space="preserve">de hoy, </w:t>
      </w:r>
      <w:r>
        <w:t>desde el 1995</w:t>
      </w:r>
      <w:r w:rsidR="00A875B7">
        <w:t>, siendo uno de los hitos más destacables de la campaña de este 2024.</w:t>
      </w:r>
    </w:p>
    <w:p w14:paraId="7A4A84C4" w14:textId="77777777" w:rsidR="0038521F" w:rsidRPr="008006BF" w:rsidRDefault="0038521F" w:rsidP="0038521F">
      <w:pPr>
        <w:pStyle w:val="Predeterminado"/>
        <w:jc w:val="both"/>
        <w:rPr>
          <w:i/>
          <w:iCs/>
          <w:sz w:val="20"/>
          <w:szCs w:val="20"/>
        </w:rPr>
      </w:pPr>
      <w:r w:rsidRPr="008006BF">
        <w:rPr>
          <w:i/>
          <w:iCs/>
          <w:sz w:val="20"/>
          <w:szCs w:val="20"/>
        </w:rPr>
        <w:t>*Nota: La curruca carrasqueña es una especie que recientemente se ha separado en tres diferentes. A efectos de poder seguir comparando las capturas de los últimos años con las primeras hemos contabilizado las capturas de las tres especies diferentes como si fueran una suela.</w:t>
      </w:r>
    </w:p>
    <w:p w14:paraId="17D4464C" w14:textId="77777777" w:rsidR="0038521F" w:rsidRPr="008006BF" w:rsidRDefault="0038521F" w:rsidP="0038521F">
      <w:pPr>
        <w:pStyle w:val="Predeterminado"/>
        <w:jc w:val="both"/>
        <w:rPr>
          <w:i/>
          <w:iCs/>
          <w:sz w:val="20"/>
          <w:szCs w:val="20"/>
        </w:rPr>
      </w:pPr>
      <w:r w:rsidRPr="008006BF">
        <w:rPr>
          <w:i/>
          <w:iCs/>
          <w:sz w:val="20"/>
          <w:szCs w:val="20"/>
        </w:rPr>
        <w:t>*Nota: Cómo en el caso de la curruca carrasqueña, el papamoscas gris también ha sido separado en dos especies diferentes. A efectos de poder seguir comparando las capturas de los últimos años con las primeras hemos contabilizado las capturas de las dos especies como si fueran una suela.</w:t>
      </w:r>
    </w:p>
    <w:p w14:paraId="447B2EEE" w14:textId="77777777" w:rsidR="0038521F" w:rsidRDefault="0038521F">
      <w:pPr>
        <w:pStyle w:val="Predeterminado"/>
        <w:jc w:val="both"/>
      </w:pPr>
    </w:p>
    <w:p w14:paraId="0D2EC6D6" w14:textId="77777777" w:rsidR="00A97C94" w:rsidRDefault="00CF4CF0">
      <w:pPr>
        <w:pStyle w:val="Predeterminado"/>
        <w:jc w:val="both"/>
      </w:pPr>
      <w:r>
        <w:rPr>
          <w:b/>
          <w:bCs/>
          <w:color w:val="007161"/>
          <w:sz w:val="24"/>
          <w:szCs w:val="24"/>
        </w:rPr>
        <w:t>El Estudio de la Migración prenupcial en la Isla del Aire (1995-2024)</w:t>
      </w:r>
    </w:p>
    <w:p w14:paraId="0D2EC6D7" w14:textId="77777777" w:rsidR="00A97C94" w:rsidRPr="00CF4CF0" w:rsidRDefault="00CF4CF0">
      <w:pPr>
        <w:pStyle w:val="Predeterminado"/>
        <w:jc w:val="both"/>
      </w:pPr>
      <w:r w:rsidRPr="00CF4CF0">
        <w:t xml:space="preserve">El </w:t>
      </w:r>
      <w:r w:rsidRPr="00CF4CF0">
        <w:rPr>
          <w:b/>
          <w:bCs/>
        </w:rPr>
        <w:t>Estudio de la migración prenupcial en la Isla del Aire</w:t>
      </w:r>
      <w:r w:rsidRPr="00CF4CF0">
        <w:t xml:space="preserve"> lleva desarrollándose desde 1995 en las mismas fechas y con la misma metodología de trabajo. Actualmente, el total de primeras capturas, contando los datos de este año, se sitúa en más de 90.000, repartidas en un total de 117 especies diferentes catalogadas en el estudio. La campaña de este año ha constado de 45 días de trabajo y han participado 26 expertos ornitólogos, entre investigadores y voluntarios. Además, esta edición ha contado con la financiación de </w:t>
      </w:r>
      <w:r w:rsidRPr="00CF4CF0">
        <w:rPr>
          <w:b/>
          <w:bCs/>
        </w:rPr>
        <w:t xml:space="preserve">Menorca </w:t>
      </w:r>
      <w:proofErr w:type="spellStart"/>
      <w:r w:rsidRPr="00CF4CF0">
        <w:rPr>
          <w:b/>
          <w:bCs/>
        </w:rPr>
        <w:t>Preservation</w:t>
      </w:r>
      <w:proofErr w:type="spellEnd"/>
      <w:r w:rsidRPr="00CF4CF0">
        <w:t xml:space="preserve">, así como el apoyo del </w:t>
      </w:r>
      <w:r w:rsidRPr="00CF4CF0">
        <w:rPr>
          <w:b/>
          <w:bCs/>
        </w:rPr>
        <w:t>Ayuntamiento de Sant Lluís</w:t>
      </w:r>
      <w:r w:rsidRPr="00CF4CF0">
        <w:t xml:space="preserve"> y la colaboración de </w:t>
      </w:r>
      <w:r w:rsidRPr="00CF4CF0">
        <w:rPr>
          <w:b/>
          <w:bCs/>
        </w:rPr>
        <w:t xml:space="preserve">MERAK </w:t>
      </w:r>
      <w:proofErr w:type="spellStart"/>
      <w:r w:rsidRPr="00CF4CF0">
        <w:rPr>
          <w:b/>
          <w:bCs/>
        </w:rPr>
        <w:t>Diving</w:t>
      </w:r>
      <w:proofErr w:type="spellEnd"/>
      <w:r w:rsidRPr="00CF4CF0">
        <w:t xml:space="preserve">, en cuanto al </w:t>
      </w:r>
      <w:r w:rsidRPr="00CF4CF0">
        <w:lastRenderedPageBreak/>
        <w:t>transporte se refiere, y también la inestimable colaboración de la</w:t>
      </w:r>
      <w:r w:rsidRPr="00CF4CF0">
        <w:rPr>
          <w:b/>
          <w:bCs/>
        </w:rPr>
        <w:t xml:space="preserve"> </w:t>
      </w:r>
      <w:proofErr w:type="spellStart"/>
      <w:r w:rsidRPr="00CF4CF0">
        <w:rPr>
          <w:b/>
          <w:bCs/>
        </w:rPr>
        <w:t>Autoritat</w:t>
      </w:r>
      <w:proofErr w:type="spellEnd"/>
      <w:r w:rsidRPr="00CF4CF0">
        <w:rPr>
          <w:b/>
          <w:bCs/>
        </w:rPr>
        <w:t xml:space="preserve"> </w:t>
      </w:r>
      <w:proofErr w:type="spellStart"/>
      <w:r w:rsidRPr="00CF4CF0">
        <w:rPr>
          <w:b/>
          <w:bCs/>
        </w:rPr>
        <w:t>Portuària</w:t>
      </w:r>
      <w:proofErr w:type="spellEnd"/>
      <w:r w:rsidRPr="00CF4CF0">
        <w:rPr>
          <w:b/>
          <w:bCs/>
        </w:rPr>
        <w:t xml:space="preserve"> de Balears</w:t>
      </w:r>
      <w:r w:rsidRPr="00CF4CF0">
        <w:t>.</w:t>
      </w:r>
    </w:p>
    <w:p w14:paraId="3D0C0832" w14:textId="77777777" w:rsidR="008006BF" w:rsidRDefault="008006BF">
      <w:pPr>
        <w:pStyle w:val="Predeterminado"/>
        <w:jc w:val="both"/>
      </w:pPr>
    </w:p>
    <w:p w14:paraId="0D2EC6D9" w14:textId="77777777" w:rsidR="00A97C94" w:rsidRDefault="00CF4CF0">
      <w:pPr>
        <w:pStyle w:val="Encabezado1"/>
        <w:ind w:firstLine="72"/>
      </w:pPr>
      <w:r>
        <w:rPr>
          <w:rStyle w:val="Ttulodellibro"/>
          <w:rFonts w:ascii="Calibri" w:hAnsi="Calibri"/>
          <w:color w:val="007161"/>
          <w:sz w:val="24"/>
          <w:szCs w:val="24"/>
        </w:rPr>
        <w:t xml:space="preserve">Sobre la Sociedad Ornitológica de Menorca </w:t>
      </w:r>
    </w:p>
    <w:p w14:paraId="0D2EC6DA" w14:textId="77777777" w:rsidR="00A97C94" w:rsidRDefault="00CF4CF0">
      <w:pPr>
        <w:pStyle w:val="Predeterminado"/>
        <w:jc w:val="both"/>
      </w:pPr>
      <w:r>
        <w:rPr>
          <w:rFonts w:eastAsia="Calibri"/>
          <w:color w:val="181818"/>
        </w:rPr>
        <w:t xml:space="preserve">Entidad dedicada desde su fundación al estudio, divulgación y protección de las aves de Menorca. Es la única organización ornitológica de la isla dedicada al estudio científico, llevando a cabo multitud de trabajos durante los 20 años que lleva desde su nacimiento en el año 2003. </w:t>
      </w:r>
    </w:p>
    <w:p w14:paraId="0D2EC6DB" w14:textId="77777777" w:rsidR="00A97C94" w:rsidRDefault="00CF4CF0">
      <w:pPr>
        <w:pStyle w:val="Predeterminado"/>
      </w:pPr>
      <w:r>
        <w:rPr>
          <w:rStyle w:val="Ttulodellibro"/>
          <w:i w:val="0"/>
          <w:iCs w:val="0"/>
        </w:rPr>
        <w:t>Datos de contacto</w:t>
      </w:r>
    </w:p>
    <w:p w14:paraId="0D2EC6DC" w14:textId="77777777" w:rsidR="00A97C94" w:rsidRDefault="00CF4CF0">
      <w:pPr>
        <w:pStyle w:val="Prrafodelista"/>
        <w:numPr>
          <w:ilvl w:val="0"/>
          <w:numId w:val="2"/>
        </w:numPr>
      </w:pPr>
      <w:r>
        <w:rPr>
          <w:rStyle w:val="Ttulodellibro"/>
          <w:i w:val="0"/>
          <w:iCs w:val="0"/>
        </w:rPr>
        <w:t xml:space="preserve">Raül Escandell: </w:t>
      </w:r>
      <w:hyperlink r:id="rId9">
        <w:r>
          <w:rPr>
            <w:rStyle w:val="EnlacedeInternet"/>
            <w:sz w:val="21"/>
            <w:szCs w:val="21"/>
          </w:rPr>
          <w:t>raulescandell@gmail.com</w:t>
        </w:r>
      </w:hyperlink>
    </w:p>
    <w:p w14:paraId="0D2EC6DD" w14:textId="77777777" w:rsidR="00A97C94" w:rsidRDefault="00CF4CF0">
      <w:pPr>
        <w:pStyle w:val="Prrafodelista"/>
      </w:pPr>
      <w:r>
        <w:rPr>
          <w:i/>
          <w:iCs/>
          <w:sz w:val="21"/>
          <w:szCs w:val="21"/>
        </w:rPr>
        <w:t>Tlf. 617750741</w:t>
      </w:r>
    </w:p>
    <w:p w14:paraId="0D2EC6DE" w14:textId="77777777" w:rsidR="00A97C94" w:rsidRDefault="00CF4CF0">
      <w:pPr>
        <w:pStyle w:val="Encabezado1"/>
        <w:ind w:firstLine="72"/>
      </w:pPr>
      <w:r>
        <w:rPr>
          <w:rStyle w:val="Ttulodellibro"/>
          <w:rFonts w:ascii="Calibri" w:hAnsi="Calibri"/>
          <w:color w:val="007161"/>
          <w:sz w:val="24"/>
          <w:szCs w:val="24"/>
        </w:rPr>
        <w:t xml:space="preserve">Sobre Menorca </w:t>
      </w:r>
      <w:proofErr w:type="spellStart"/>
      <w:r>
        <w:rPr>
          <w:rStyle w:val="Ttulodellibro"/>
          <w:rFonts w:ascii="Calibri" w:hAnsi="Calibri"/>
          <w:color w:val="007161"/>
          <w:sz w:val="24"/>
          <w:szCs w:val="24"/>
        </w:rPr>
        <w:t>Preservation</w:t>
      </w:r>
      <w:proofErr w:type="spellEnd"/>
      <w:r>
        <w:rPr>
          <w:rStyle w:val="Ttulodellibro"/>
          <w:rFonts w:ascii="Calibri" w:hAnsi="Calibri"/>
          <w:color w:val="007161"/>
          <w:sz w:val="24"/>
          <w:szCs w:val="24"/>
        </w:rPr>
        <w:t xml:space="preserve"> </w:t>
      </w:r>
    </w:p>
    <w:p w14:paraId="0D2EC6DF" w14:textId="77777777" w:rsidR="00A97C94" w:rsidRDefault="00CF4CF0">
      <w:pPr>
        <w:jc w:val="both"/>
      </w:pPr>
      <w:r>
        <w:rPr>
          <w:rFonts w:ascii="Calibri" w:hAnsi="Calibri" w:cs="Calibri"/>
          <w:sz w:val="22"/>
          <w:szCs w:val="22"/>
        </w:rPr>
        <w:t xml:space="preserve">Menorca </w:t>
      </w:r>
      <w:proofErr w:type="spellStart"/>
      <w:r>
        <w:rPr>
          <w:rFonts w:ascii="Calibri" w:hAnsi="Calibri" w:cs="Calibri"/>
          <w:sz w:val="22"/>
          <w:szCs w:val="22"/>
        </w:rPr>
        <w:t>Preservation</w:t>
      </w:r>
      <w:proofErr w:type="spellEnd"/>
      <w:r>
        <w:rPr>
          <w:rFonts w:ascii="Calibri" w:hAnsi="Calibri" w:cs="Calibri"/>
          <w:sz w:val="22"/>
          <w:szCs w:val="22"/>
        </w:rPr>
        <w:t xml:space="preserve"> es una fundación sin ánimo de lucro que busca dar apoyo e impulsar proyectos medioambientales en la isla de Menorca, liderados por “héroes medioambientales locales”. Nuestro objetivo es recaudar fondos local e internacionalmente de personas y entidades con un fuerte vínculo a la isla y que quieren ayudarnos a preservar la singular belleza natural y los espectaculares ecosistemas marinos de Menorca. </w:t>
      </w:r>
    </w:p>
    <w:p w14:paraId="0D2EC6E0" w14:textId="77777777" w:rsidR="00A97C94" w:rsidRDefault="00CF4CF0">
      <w:pPr>
        <w:pStyle w:val="Predeterminado"/>
      </w:pPr>
      <w:r>
        <w:rPr>
          <w:rStyle w:val="Ttulodellibro"/>
          <w:i w:val="0"/>
          <w:iCs w:val="0"/>
        </w:rPr>
        <w:t>Datos de contacto</w:t>
      </w:r>
    </w:p>
    <w:p w14:paraId="0D2EC6E1" w14:textId="77777777" w:rsidR="00A97C94" w:rsidRDefault="00CF4CF0">
      <w:pPr>
        <w:pStyle w:val="Prrafodelista"/>
        <w:numPr>
          <w:ilvl w:val="0"/>
          <w:numId w:val="2"/>
        </w:numPr>
      </w:pPr>
      <w:r>
        <w:rPr>
          <w:rStyle w:val="Ttulodellibro"/>
          <w:i w:val="0"/>
          <w:iCs w:val="0"/>
        </w:rPr>
        <w:t xml:space="preserve">Sara D’Eustacchio – Comunicación y proyectos: </w:t>
      </w:r>
      <w:hyperlink r:id="rId10">
        <w:r>
          <w:rPr>
            <w:rStyle w:val="EnlacedeInternet"/>
            <w:i/>
            <w:iCs/>
            <w:spacing w:val="5"/>
          </w:rPr>
          <w:t>sara@menorcapreservation.org</w:t>
        </w:r>
      </w:hyperlink>
    </w:p>
    <w:sectPr w:rsidR="00A97C94">
      <w:headerReference w:type="default" r:id="rId11"/>
      <w:footerReference w:type="default" r:id="rId12"/>
      <w:pgSz w:w="11906" w:h="16838"/>
      <w:pgMar w:top="1417" w:right="1701" w:bottom="1417"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2BC6" w14:textId="77777777" w:rsidR="00A24FA1" w:rsidRDefault="00A24FA1">
      <w:pPr>
        <w:spacing w:line="240" w:lineRule="auto"/>
      </w:pPr>
      <w:r>
        <w:separator/>
      </w:r>
    </w:p>
  </w:endnote>
  <w:endnote w:type="continuationSeparator" w:id="0">
    <w:p w14:paraId="731A93C1" w14:textId="77777777" w:rsidR="00A24FA1" w:rsidRDefault="00A24FA1">
      <w:pPr>
        <w:spacing w:line="240" w:lineRule="auto"/>
      </w:pPr>
      <w:r>
        <w:continuationSeparator/>
      </w:r>
    </w:p>
  </w:endnote>
  <w:endnote w:type="continuationNotice" w:id="1">
    <w:p w14:paraId="5D362261" w14:textId="77777777" w:rsidR="00A24FA1" w:rsidRDefault="00A24F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pitch w:val="variable"/>
    <w:sig w:usb0="00002000" w:usb1="00000000" w:usb2="00000000" w:usb3="00000000" w:csb0="0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C6E6" w14:textId="77777777" w:rsidR="00A97C94" w:rsidRDefault="00A97C94">
    <w:pPr>
      <w:pStyle w:val="Encabezamiento"/>
      <w:ind w:left="-115"/>
    </w:pPr>
  </w:p>
  <w:p w14:paraId="0D2EC6E7" w14:textId="77777777" w:rsidR="00A97C94" w:rsidRDefault="00A97C94">
    <w:pPr>
      <w:pStyle w:val="Encabezamiento"/>
      <w:jc w:val="center"/>
    </w:pPr>
  </w:p>
  <w:p w14:paraId="0D2EC6E8" w14:textId="77777777" w:rsidR="00A97C94" w:rsidRDefault="00A97C94">
    <w:pPr>
      <w:pStyle w:val="Encabezamiento"/>
      <w:ind w:right="-115"/>
      <w:jc w:val="right"/>
    </w:pPr>
  </w:p>
  <w:p w14:paraId="0D2EC6E9" w14:textId="77777777" w:rsidR="00A97C94" w:rsidRDefault="00A97C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8AFF" w14:textId="77777777" w:rsidR="00A24FA1" w:rsidRDefault="00A24FA1">
      <w:pPr>
        <w:spacing w:line="240" w:lineRule="auto"/>
      </w:pPr>
      <w:r>
        <w:separator/>
      </w:r>
    </w:p>
  </w:footnote>
  <w:footnote w:type="continuationSeparator" w:id="0">
    <w:p w14:paraId="33982D1E" w14:textId="77777777" w:rsidR="00A24FA1" w:rsidRDefault="00A24FA1">
      <w:pPr>
        <w:spacing w:line="240" w:lineRule="auto"/>
      </w:pPr>
      <w:r>
        <w:continuationSeparator/>
      </w:r>
    </w:p>
  </w:footnote>
  <w:footnote w:type="continuationNotice" w:id="1">
    <w:p w14:paraId="7314E780" w14:textId="77777777" w:rsidR="00A24FA1" w:rsidRDefault="00A24F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C6E2" w14:textId="77777777" w:rsidR="00A97C94" w:rsidRDefault="00A97C94">
    <w:pPr>
      <w:pStyle w:val="Encabezamiento"/>
      <w:ind w:left="-115"/>
    </w:pPr>
  </w:p>
  <w:p w14:paraId="0D2EC6E3" w14:textId="77777777" w:rsidR="00A97C94" w:rsidRDefault="00A97C94">
    <w:pPr>
      <w:pStyle w:val="Encabezamiento"/>
      <w:jc w:val="center"/>
    </w:pPr>
  </w:p>
  <w:p w14:paraId="0D2EC6E4" w14:textId="5D7FEC66" w:rsidR="00A97C94" w:rsidRDefault="00E52C9F">
    <w:pPr>
      <w:pStyle w:val="Encabezamiento"/>
      <w:ind w:right="-115"/>
      <w:jc w:val="right"/>
    </w:pPr>
    <w:r>
      <w:rPr>
        <w:noProof/>
      </w:rPr>
      <w:drawing>
        <wp:inline distT="0" distB="0" distL="0" distR="0" wp14:anchorId="0F9CDADA" wp14:editId="0F848FDA">
          <wp:extent cx="858129" cy="858129"/>
          <wp:effectExtent l="0" t="0" r="0" b="0"/>
          <wp:docPr id="627717657"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717657" name="Imagen 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58129" cy="858129"/>
                  </a:xfrm>
                  <a:prstGeom prst="rect">
                    <a:avLst/>
                  </a:prstGeom>
                </pic:spPr>
              </pic:pic>
            </a:graphicData>
          </a:graphic>
        </wp:inline>
      </w:drawing>
    </w:r>
    <w:r w:rsidR="00B746FB">
      <w:rPr>
        <w:noProof/>
      </w:rPr>
      <w:drawing>
        <wp:inline distT="0" distB="0" distL="0" distR="0" wp14:anchorId="49F8E851" wp14:editId="6CF546D6">
          <wp:extent cx="866775" cy="866775"/>
          <wp:effectExtent l="0" t="0" r="9525" b="9525"/>
          <wp:docPr id="1366829212" name="Imagen 1" descr="Imagen que contiene firmar, cuarto, palo,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p w14:paraId="0D2EC6E5" w14:textId="77777777" w:rsidR="00A97C94" w:rsidRDefault="00A97C94">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76D6D"/>
    <w:multiLevelType w:val="multilevel"/>
    <w:tmpl w:val="62D889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68C7324"/>
    <w:multiLevelType w:val="multilevel"/>
    <w:tmpl w:val="1D98B0F6"/>
    <w:lvl w:ilvl="0">
      <w:start w:val="1"/>
      <w:numFmt w:val="none"/>
      <w:suff w:val="nothing"/>
      <w:lvlText w:val=""/>
      <w:lvlJc w:val="left"/>
      <w:pPr>
        <w:tabs>
          <w:tab w:val="num" w:pos="432"/>
        </w:tabs>
        <w:ind w:left="432" w:hanging="432"/>
      </w:pPr>
    </w:lvl>
    <w:lvl w:ilvl="1">
      <w:start w:val="1"/>
      <w:numFmt w:val="none"/>
      <w:pStyle w:val="Encabezad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62820926">
    <w:abstractNumId w:val="1"/>
  </w:num>
  <w:num w:numId="2" w16cid:durableId="106313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A97C94"/>
    <w:rsid w:val="001C3F1C"/>
    <w:rsid w:val="001E0F2A"/>
    <w:rsid w:val="00233ABA"/>
    <w:rsid w:val="00297230"/>
    <w:rsid w:val="00330EFB"/>
    <w:rsid w:val="0038521F"/>
    <w:rsid w:val="003D19DD"/>
    <w:rsid w:val="004A5C12"/>
    <w:rsid w:val="00522A2A"/>
    <w:rsid w:val="005D0FB2"/>
    <w:rsid w:val="00614450"/>
    <w:rsid w:val="007141C1"/>
    <w:rsid w:val="008006BF"/>
    <w:rsid w:val="00A24FA1"/>
    <w:rsid w:val="00A875B7"/>
    <w:rsid w:val="00A97C94"/>
    <w:rsid w:val="00B746FB"/>
    <w:rsid w:val="00CF4CF0"/>
    <w:rsid w:val="00D8497F"/>
    <w:rsid w:val="00DC2126"/>
    <w:rsid w:val="00DE6C04"/>
    <w:rsid w:val="00E52C9F"/>
    <w:rsid w:val="00E84CFB"/>
    <w:rsid w:val="00E9068D"/>
    <w:rsid w:val="00FB5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D2EC6C9"/>
  <w15:docId w15:val="{FB8FFEE9-65F9-6842-8295-D2A54DBF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es-ES_trad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08"/>
      </w:tabs>
      <w:suppressAutoHyphens/>
      <w:spacing w:after="0" w:line="100" w:lineRule="atLeast"/>
    </w:pPr>
    <w:rPr>
      <w:rFonts w:ascii="Arial" w:eastAsia="SimSun" w:hAnsi="Arial" w:cs="Arial"/>
      <w:color w:val="00000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tabs>
        <w:tab w:val="left" w:pos="708"/>
      </w:tabs>
      <w:suppressAutoHyphens/>
      <w:spacing w:line="256" w:lineRule="auto"/>
    </w:pPr>
    <w:rPr>
      <w:rFonts w:ascii="Calibri" w:eastAsia="SimSun" w:hAnsi="Calibri" w:cs="Calibri"/>
      <w:sz w:val="22"/>
      <w:szCs w:val="22"/>
      <w:lang w:eastAsia="en-US"/>
    </w:rPr>
  </w:style>
  <w:style w:type="paragraph" w:customStyle="1" w:styleId="Encabezado1">
    <w:name w:val="Encabezado 1"/>
    <w:basedOn w:val="Predeterminado"/>
    <w:next w:val="Cuerpodetexto"/>
    <w:pPr>
      <w:keepNext/>
      <w:keepLines/>
      <w:spacing w:before="240" w:after="0"/>
    </w:pPr>
    <w:rPr>
      <w:rFonts w:ascii="Calibri Light" w:hAnsi="Calibri Light"/>
      <w:color w:val="2F5496"/>
      <w:sz w:val="32"/>
      <w:szCs w:val="32"/>
    </w:rPr>
  </w:style>
  <w:style w:type="paragraph" w:customStyle="1" w:styleId="Encabezado2">
    <w:name w:val="Encabezado 2"/>
    <w:basedOn w:val="Predeterminado"/>
    <w:next w:val="Cuerpodetexto"/>
    <w:pPr>
      <w:keepNext/>
      <w:keepLines/>
      <w:numPr>
        <w:ilvl w:val="1"/>
        <w:numId w:val="1"/>
      </w:numPr>
      <w:spacing w:before="40" w:after="0"/>
      <w:outlineLvl w:val="1"/>
    </w:pPr>
    <w:rPr>
      <w:rFonts w:ascii="Calibri Light" w:hAnsi="Calibri Light"/>
      <w:color w:val="2F5496"/>
      <w:sz w:val="26"/>
      <w:szCs w:val="26"/>
    </w:rPr>
  </w:style>
  <w:style w:type="character" w:customStyle="1" w:styleId="Ttulo1Car">
    <w:name w:val="Título 1 Car"/>
    <w:basedOn w:val="Fuentedeprrafopredeter"/>
    <w:rPr>
      <w:rFonts w:ascii="Calibri Light" w:hAnsi="Calibri Light"/>
      <w:color w:val="2F5496"/>
      <w:sz w:val="32"/>
      <w:szCs w:val="32"/>
    </w:rPr>
  </w:style>
  <w:style w:type="character" w:styleId="Ttulodellibro">
    <w:name w:val="Book Title"/>
    <w:basedOn w:val="Fuentedeprrafopredeter"/>
    <w:rPr>
      <w:b/>
      <w:bCs/>
      <w:i/>
      <w:iCs/>
      <w:spacing w:val="5"/>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EnlacedeInternet">
    <w:name w:val="Enlace de Internet"/>
    <w:basedOn w:val="Fuentedeprrafopredeter"/>
    <w:rPr>
      <w:color w:val="0563C1"/>
      <w:u w:val="single"/>
      <w:lang w:val="es-ES" w:eastAsia="es-ES" w:bidi="es-ES"/>
    </w:rPr>
  </w:style>
  <w:style w:type="character" w:styleId="Mencinsinresolver">
    <w:name w:val="Unresolved Mention"/>
    <w:basedOn w:val="Fuentedeprrafopredeter"/>
    <w:rPr>
      <w:color w:val="605E5C"/>
      <w:shd w:val="clear" w:color="auto" w:fill="E1DFDD"/>
    </w:rPr>
  </w:style>
  <w:style w:type="character" w:customStyle="1" w:styleId="Ttulo2Car">
    <w:name w:val="Título 2 Car"/>
    <w:basedOn w:val="Fuentedeprrafopredeter"/>
    <w:rPr>
      <w:rFonts w:ascii="Calibri Light" w:hAnsi="Calibri Light"/>
      <w:color w:val="2F5496"/>
      <w:sz w:val="26"/>
      <w:szCs w:val="26"/>
    </w:rPr>
  </w:style>
  <w:style w:type="character" w:customStyle="1" w:styleId="Ttulodellibro1">
    <w:name w:val="Título del libro1"/>
    <w:basedOn w:val="Fuentedeprrafopredeter"/>
    <w:rPr>
      <w:b/>
      <w:bCs/>
      <w:i/>
      <w:iCs/>
      <w:spacing w:val="5"/>
    </w:rPr>
  </w:style>
  <w:style w:type="character" w:customStyle="1" w:styleId="ListLabel1">
    <w:name w:val="ListLabel 1"/>
    <w:rPr>
      <w:rFonts w:cs="Calibri"/>
    </w:rPr>
  </w:style>
  <w:style w:type="character" w:customStyle="1" w:styleId="ListLabel2">
    <w:name w:val="ListLabel 2"/>
    <w:rPr>
      <w:rFonts w:cs="Courier New"/>
    </w:rPr>
  </w:style>
  <w:style w:type="paragraph" w:styleId="Encabezado">
    <w:name w:val="header"/>
    <w:basedOn w:val="Predeterminado"/>
    <w:next w:val="Cuerpodetexto"/>
    <w:pPr>
      <w:keepNext/>
      <w:spacing w:before="240" w:after="120"/>
    </w:pPr>
    <w:rPr>
      <w:rFonts w:ascii="Arial" w:eastAsia="Microsoft YaHei" w:hAnsi="Arial" w:cs="Mangal"/>
      <w:sz w:val="28"/>
      <w:szCs w:val="28"/>
    </w:rPr>
  </w:style>
  <w:style w:type="paragraph" w:customStyle="1" w:styleId="Cuerpodetexto">
    <w:name w:val="Cuerpo de texto"/>
    <w:basedOn w:val="Predeterminado"/>
    <w:pPr>
      <w:spacing w:after="120"/>
    </w:pPr>
  </w:style>
  <w:style w:type="paragraph" w:styleId="Lista">
    <w:name w:val="List"/>
    <w:basedOn w:val="Cuerpodetexto"/>
    <w:rPr>
      <w:rFonts w:cs="Mangal"/>
    </w:rPr>
  </w:style>
  <w:style w:type="paragraph" w:customStyle="1" w:styleId="Etiqueta">
    <w:name w:val="Etiqueta"/>
    <w:basedOn w:val="Predeterminado"/>
    <w:pPr>
      <w:suppressLineNumbers/>
      <w:spacing w:before="120" w:after="120"/>
    </w:pPr>
    <w:rPr>
      <w:rFonts w:cs="Mangal"/>
      <w:i/>
      <w:iCs/>
      <w:sz w:val="24"/>
      <w:szCs w:val="24"/>
    </w:rPr>
  </w:style>
  <w:style w:type="paragraph" w:customStyle="1" w:styleId="ndice">
    <w:name w:val="Índice"/>
    <w:basedOn w:val="Predeterminado"/>
    <w:pPr>
      <w:suppressLineNumbers/>
    </w:pPr>
    <w:rPr>
      <w:rFonts w:cs="Mangal"/>
    </w:rPr>
  </w:style>
  <w:style w:type="paragraph" w:styleId="Prrafodelista">
    <w:name w:val="List Paragraph"/>
    <w:basedOn w:val="Predeterminado"/>
    <w:pPr>
      <w:ind w:left="720"/>
    </w:pPr>
  </w:style>
  <w:style w:type="paragraph" w:customStyle="1" w:styleId="Encabezamiento">
    <w:name w:val="Encabezamiento"/>
    <w:basedOn w:val="Predeterminado"/>
    <w:pPr>
      <w:suppressLineNumbers/>
      <w:tabs>
        <w:tab w:val="center" w:pos="4252"/>
        <w:tab w:val="right" w:pos="8504"/>
      </w:tabs>
      <w:spacing w:after="0" w:line="100" w:lineRule="atLeast"/>
    </w:pPr>
  </w:style>
  <w:style w:type="paragraph" w:styleId="Piedepgina">
    <w:name w:val="footer"/>
    <w:basedOn w:val="Predeterminado"/>
    <w:pPr>
      <w:suppressLineNumbers/>
      <w:tabs>
        <w:tab w:val="center" w:pos="4252"/>
        <w:tab w:val="right" w:pos="8504"/>
      </w:tabs>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ara@menorcapreservation.org" TargetMode="External"/><Relationship Id="rId4" Type="http://schemas.openxmlformats.org/officeDocument/2006/relationships/styles" Target="styles.xml"/><Relationship Id="rId9" Type="http://schemas.openxmlformats.org/officeDocument/2006/relationships/hyperlink" Target="mailto:raulescandell@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A149A79C1D124B9C971A33AD32B69A" ma:contentTypeVersion="20" ma:contentTypeDescription="Crear nuevo documento." ma:contentTypeScope="" ma:versionID="98ec774646cc9be536ed7268d31bdb4c">
  <xsd:schema xmlns:xsd="http://www.w3.org/2001/XMLSchema" xmlns:xs="http://www.w3.org/2001/XMLSchema" xmlns:p="http://schemas.microsoft.com/office/2006/metadata/properties" xmlns:ns2="bc7f6ba3-41cb-40b7-af42-b411c12d8057" xmlns:ns3="efcedcf2-8618-4dd3-ad1e-045d7ec9992b" targetNamespace="http://schemas.microsoft.com/office/2006/metadata/properties" ma:root="true" ma:fieldsID="b6cca57eaba4ec8cf2c219e3d8d5808e" ns2:_="" ns3:_="">
    <xsd:import namespace="bc7f6ba3-41cb-40b7-af42-b411c12d8057"/>
    <xsd:import namespace="efcedcf2-8618-4dd3-ad1e-045d7ec999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f6ba3-41cb-40b7-af42-b411c12d8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85b503e-960e-4e51-8db6-4981fc5f78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dcf2-8618-4dd3-ad1e-045d7ec9992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f7b24c-13b4-472c-9e39-cd08b26985f0}" ma:internalName="TaxCatchAll" ma:showField="CatchAllData" ma:web="efcedcf2-8618-4dd3-ad1e-045d7ec999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2EF02-AB27-4B10-9525-9F493D7B5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f6ba3-41cb-40b7-af42-b411c12d8057"/>
    <ds:schemaRef ds:uri="efcedcf2-8618-4dd3-ad1e-045d7ec99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C666F-CFBD-4AC6-B2E0-BCA98B640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1059</Words>
  <Characters>5828</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d'Eustacchio</dc:creator>
  <cp:lastModifiedBy>Sara d'Eustacchio</cp:lastModifiedBy>
  <cp:revision>82</cp:revision>
  <dcterms:created xsi:type="dcterms:W3CDTF">2022-08-17T09:02:00Z</dcterms:created>
  <dcterms:modified xsi:type="dcterms:W3CDTF">2024-05-13T16:10:00Z</dcterms:modified>
</cp:coreProperties>
</file>