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F81D" w14:textId="77777777" w:rsidR="00D152D6" w:rsidRDefault="00D152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b/>
          <w:sz w:val="32"/>
          <w:szCs w:val="32"/>
        </w:rPr>
      </w:pPr>
    </w:p>
    <w:p w14:paraId="61884E45" w14:textId="77777777" w:rsidR="00D152D6" w:rsidRPr="00C42091" w:rsidRDefault="00C420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b/>
          <w:color w:val="000000"/>
          <w:sz w:val="32"/>
          <w:szCs w:val="32"/>
          <w:lang w:val="es-ES"/>
        </w:rPr>
      </w:pPr>
      <w:r w:rsidRPr="00C42091">
        <w:rPr>
          <w:rFonts w:ascii="Calibri" w:eastAsia="Calibri" w:hAnsi="Calibri" w:cs="Calibri"/>
          <w:b/>
          <w:sz w:val="32"/>
          <w:szCs w:val="32"/>
          <w:lang w:val="es-ES"/>
        </w:rPr>
        <w:t xml:space="preserve">La alianza </w:t>
      </w:r>
      <w:proofErr w:type="spellStart"/>
      <w:r w:rsidRPr="00C42091">
        <w:rPr>
          <w:rFonts w:ascii="Calibri" w:eastAsia="Calibri" w:hAnsi="Calibri" w:cs="Calibri"/>
          <w:b/>
          <w:sz w:val="32"/>
          <w:szCs w:val="32"/>
          <w:lang w:val="es-ES"/>
        </w:rPr>
        <w:t>Calant</w:t>
      </w:r>
      <w:proofErr w:type="spellEnd"/>
      <w:r w:rsidRPr="00C42091">
        <w:rPr>
          <w:rFonts w:ascii="Calibri" w:eastAsia="Calibri" w:hAnsi="Calibri" w:cs="Calibri"/>
          <w:b/>
          <w:sz w:val="32"/>
          <w:szCs w:val="32"/>
          <w:lang w:val="es-ES"/>
        </w:rPr>
        <w:t xml:space="preserve"> </w:t>
      </w:r>
      <w:proofErr w:type="spellStart"/>
      <w:r w:rsidRPr="00C42091">
        <w:rPr>
          <w:rFonts w:ascii="Calibri" w:eastAsia="Calibri" w:hAnsi="Calibri" w:cs="Calibri"/>
          <w:b/>
          <w:sz w:val="32"/>
          <w:szCs w:val="32"/>
          <w:lang w:val="es-ES"/>
        </w:rPr>
        <w:t>Xarxes</w:t>
      </w:r>
      <w:proofErr w:type="spellEnd"/>
      <w:r w:rsidRPr="00C42091">
        <w:rPr>
          <w:rFonts w:ascii="Calibri" w:eastAsia="Calibri" w:hAnsi="Calibri" w:cs="Calibri"/>
          <w:b/>
          <w:sz w:val="32"/>
          <w:szCs w:val="32"/>
          <w:lang w:val="es-ES"/>
        </w:rPr>
        <w:t xml:space="preserve"> y pescadores de las tres cofradías de pescadores de Menorca se reúnen para identificar juntos iniciativas para fortalecer la comercialización y trazabilidad del pescado en la Isla de Menorca.</w:t>
      </w:r>
    </w:p>
    <w:p w14:paraId="452F9D75" w14:textId="77777777" w:rsidR="00D152D6" w:rsidRPr="00C42091" w:rsidRDefault="00D152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b/>
          <w:color w:val="000000"/>
          <w:sz w:val="32"/>
          <w:szCs w:val="32"/>
          <w:lang w:val="es-ES"/>
        </w:rPr>
      </w:pPr>
    </w:p>
    <w:p w14:paraId="4EB87D07" w14:textId="77777777" w:rsidR="00D152D6" w:rsidRPr="00C42091" w:rsidRDefault="00C420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2"/>
          <w:szCs w:val="22"/>
          <w:lang w:val="es-ES"/>
        </w:rPr>
      </w:pPr>
      <w:r w:rsidRPr="00C42091">
        <w:rPr>
          <w:rFonts w:ascii="Calibri" w:eastAsia="Calibri" w:hAnsi="Calibri" w:cs="Calibri"/>
          <w:sz w:val="22"/>
          <w:szCs w:val="22"/>
          <w:lang w:val="es-ES"/>
        </w:rPr>
        <w:t xml:space="preserve">El sábado 9 de marzo la alianza Calant Xarxes realizó el taller “Desarrollo de marcas colectivas para productos del mar Balear” en la Biblioteca Municipal Es Mercadal, con el objetivo de generar un espacio de intercambio de experiencias entre los pescadores de Menorca y dar a conocer de primera mano otras iniciativas que se están llevando a cabo en Ibiza, Formentera y Mallorca. </w:t>
      </w:r>
    </w:p>
    <w:p w14:paraId="16A1421F" w14:textId="77777777" w:rsidR="00D152D6" w:rsidRPr="00C42091" w:rsidRDefault="00D152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2"/>
          <w:szCs w:val="22"/>
          <w:lang w:val="es-ES"/>
        </w:rPr>
      </w:pPr>
    </w:p>
    <w:p w14:paraId="1786042D" w14:textId="15AE2CA8" w:rsidR="00D152D6" w:rsidRPr="00C42091" w:rsidRDefault="00C42091" w:rsidP="00C42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2"/>
          <w:szCs w:val="22"/>
          <w:lang w:val="es-ES"/>
        </w:rPr>
      </w:pPr>
      <w:r w:rsidRPr="00C42091">
        <w:rPr>
          <w:rFonts w:ascii="Calibri" w:eastAsia="Calibri" w:hAnsi="Calibri" w:cs="Calibri"/>
          <w:sz w:val="22"/>
          <w:szCs w:val="22"/>
          <w:lang w:val="es-ES"/>
        </w:rPr>
        <w:t>El evento contó con la colaboración de Domingo Bonnin, Presidente de la Federación Balear de Cofradía de Pescadors y Xavi Marqués, patrón mayor de la cofradía de Ciutadella y Vicepresidente de la federación Balear de Cofradía de pescadors, quien convocó a pescadores y secretarios de las cofradías de Maó, Fornells y Ciutadella subrayando que: “</w:t>
      </w:r>
      <w:r w:rsidRPr="00C42091">
        <w:rPr>
          <w:rFonts w:ascii="Calibri" w:eastAsia="Calibri" w:hAnsi="Calibri" w:cs="Calibri"/>
          <w:i/>
          <w:iCs/>
          <w:sz w:val="22"/>
          <w:szCs w:val="22"/>
          <w:lang w:val="es-ES"/>
        </w:rPr>
        <w:t xml:space="preserve">Merece la pena ponerlo en marcha para dar a </w:t>
      </w:r>
      <w:r w:rsidRPr="00C42091">
        <w:rPr>
          <w:rFonts w:ascii="Calibri" w:eastAsia="Calibri" w:hAnsi="Calibri" w:cs="Calibri"/>
          <w:i/>
          <w:iCs/>
          <w:sz w:val="22"/>
          <w:szCs w:val="22"/>
          <w:lang w:val="es-ES"/>
        </w:rPr>
        <w:t>conocer</w:t>
      </w:r>
      <w:r w:rsidRPr="00C42091">
        <w:rPr>
          <w:rFonts w:ascii="Calibri" w:eastAsia="Calibri" w:hAnsi="Calibri" w:cs="Calibri"/>
          <w:i/>
          <w:iCs/>
          <w:sz w:val="22"/>
          <w:szCs w:val="22"/>
          <w:lang w:val="es-ES"/>
        </w:rPr>
        <w:t xml:space="preserve"> </w:t>
      </w:r>
      <w:r w:rsidRPr="00C42091">
        <w:rPr>
          <w:rFonts w:ascii="Calibri" w:eastAsia="Calibri" w:hAnsi="Calibri" w:cs="Calibri"/>
          <w:i/>
          <w:iCs/>
          <w:sz w:val="22"/>
          <w:szCs w:val="22"/>
          <w:lang w:val="es-ES"/>
        </w:rPr>
        <w:t>el</w:t>
      </w:r>
      <w:r w:rsidRPr="00C42091">
        <w:rPr>
          <w:rFonts w:ascii="Calibri" w:eastAsia="Calibri" w:hAnsi="Calibri" w:cs="Calibri"/>
          <w:i/>
          <w:iCs/>
          <w:sz w:val="22"/>
          <w:szCs w:val="22"/>
          <w:lang w:val="es-ES"/>
        </w:rPr>
        <w:t xml:space="preserve"> producto de aquí y diferenciarlo del que viene de fuera de cara al consumidor final y/o restaurantes</w:t>
      </w:r>
      <w:r w:rsidRPr="00C42091">
        <w:rPr>
          <w:rFonts w:ascii="Calibri" w:eastAsia="Calibri" w:hAnsi="Calibri" w:cs="Calibri"/>
          <w:i/>
          <w:iCs/>
          <w:sz w:val="22"/>
          <w:szCs w:val="22"/>
          <w:lang w:val="es-ES"/>
        </w:rPr>
        <w:t>”.</w:t>
      </w:r>
    </w:p>
    <w:p w14:paraId="0B0E0E7C" w14:textId="77777777" w:rsidR="00C42091" w:rsidRPr="00C42091" w:rsidRDefault="00C42091" w:rsidP="00C42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2"/>
          <w:szCs w:val="22"/>
          <w:lang w:val="es-ES"/>
        </w:rPr>
      </w:pPr>
    </w:p>
    <w:p w14:paraId="0B5AE4A1" w14:textId="77777777" w:rsidR="00D152D6" w:rsidRPr="00C42091" w:rsidRDefault="00C420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2"/>
          <w:szCs w:val="22"/>
          <w:lang w:val="es-ES"/>
        </w:rPr>
      </w:pPr>
      <w:r w:rsidRPr="00C42091">
        <w:rPr>
          <w:rFonts w:ascii="Calibri" w:eastAsia="Calibri" w:hAnsi="Calibri" w:cs="Calibri"/>
          <w:sz w:val="22"/>
          <w:szCs w:val="22"/>
          <w:lang w:val="es-ES"/>
        </w:rPr>
        <w:t xml:space="preserve">Así, en el taller también participaron como expositores Marga Serra, secretaria de la cofradía de pescadores de Ibiza y Marcial Caracena, director comercial de OPmallorcaMar, que compartieron su trabajo en el desarrollo de marcas colectivas para productos del mar en Ibiza y Mallorca, con el fin de explorar alternativas de comercialización que permitan poner en valor el producto del mar de Menorca y reforzar la promoción de aquellos restaurantes que apuestan por su comercialización. </w:t>
      </w:r>
    </w:p>
    <w:p w14:paraId="3901A365" w14:textId="77777777" w:rsidR="00D152D6" w:rsidRPr="00C42091" w:rsidRDefault="00D152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2"/>
          <w:szCs w:val="22"/>
          <w:lang w:val="es-ES"/>
        </w:rPr>
      </w:pPr>
    </w:p>
    <w:p w14:paraId="0EE6284B" w14:textId="77777777" w:rsidR="00D152D6" w:rsidRPr="00C42091" w:rsidRDefault="00C42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i/>
          <w:sz w:val="22"/>
          <w:szCs w:val="22"/>
          <w:lang w:val="es-ES"/>
        </w:rPr>
      </w:pPr>
      <w:r w:rsidRPr="00C42091">
        <w:rPr>
          <w:rFonts w:ascii="Calibri" w:eastAsia="Calibri" w:hAnsi="Calibri" w:cs="Calibri"/>
          <w:sz w:val="22"/>
          <w:szCs w:val="22"/>
          <w:lang w:val="es-ES"/>
        </w:rPr>
        <w:t xml:space="preserve">Por un lado, Marcial Caracena, director comercial de OPmallorcaMar explicó el ejemplo del desarrollo de la marca Millorquin, detallando los requisitos de la certificación tanto para restaurantes, como para las barcas de pesca en Mallorca. Marcial ha subrayado que </w:t>
      </w:r>
      <w:r w:rsidRPr="00C42091">
        <w:rPr>
          <w:rFonts w:ascii="Calibri" w:eastAsia="Calibri" w:hAnsi="Calibri" w:cs="Calibri"/>
          <w:i/>
          <w:sz w:val="22"/>
          <w:szCs w:val="22"/>
          <w:lang w:val="es-ES"/>
        </w:rPr>
        <w:t>“la marca Millorquin ha permitido poner en valor la captura de pescado de embarcaciones de Mallorca que garantizan una pesca responsable y trazable hasta el consumidor final. Gracias a nuestra colaboración con la alianza Calant Xarxes hemos desarrollado un plan de acción conjunto, para unir a todos los actores, embarcaciones, pescaderos, restauración, etc en un proyecto capaz de visibilizar la oferta de producto del mar, sostenible, trazable, de kilómetro cero”</w:t>
      </w:r>
    </w:p>
    <w:p w14:paraId="2EA48D7A" w14:textId="77777777" w:rsidR="00D152D6" w:rsidRPr="00C42091" w:rsidRDefault="00C42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i/>
          <w:sz w:val="22"/>
          <w:szCs w:val="22"/>
          <w:lang w:val="es-ES"/>
        </w:rPr>
      </w:pPr>
      <w:r w:rsidRPr="00C42091">
        <w:rPr>
          <w:rFonts w:ascii="Calibri" w:eastAsia="Calibri" w:hAnsi="Calibri" w:cs="Calibri"/>
          <w:i/>
          <w:sz w:val="22"/>
          <w:szCs w:val="22"/>
          <w:lang w:val="es-ES"/>
        </w:rPr>
        <w:t xml:space="preserve"> </w:t>
      </w:r>
    </w:p>
    <w:p w14:paraId="79D45F0D" w14:textId="77777777" w:rsidR="00D152D6" w:rsidRPr="00C42091" w:rsidRDefault="00C42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i/>
          <w:sz w:val="22"/>
          <w:szCs w:val="22"/>
          <w:lang w:val="es-ES"/>
        </w:rPr>
      </w:pPr>
      <w:r w:rsidRPr="00C42091">
        <w:rPr>
          <w:rFonts w:ascii="Calibri" w:eastAsia="Calibri" w:hAnsi="Calibri" w:cs="Calibri"/>
          <w:sz w:val="22"/>
          <w:szCs w:val="22"/>
          <w:lang w:val="es-ES"/>
        </w:rPr>
        <w:t xml:space="preserve">Por su parte, Marga Serra, secretaria de la Cofradía de pescadores de Ibiza, compartió con los asistentes los principales desafíos y ventajas en el desarrollo de la marca Peix Nostrum, destacando que: </w:t>
      </w:r>
      <w:r w:rsidRPr="00C42091">
        <w:rPr>
          <w:rFonts w:ascii="Calibri" w:eastAsia="Calibri" w:hAnsi="Calibri" w:cs="Calibri"/>
          <w:i/>
          <w:sz w:val="22"/>
          <w:szCs w:val="22"/>
          <w:lang w:val="es-ES"/>
        </w:rPr>
        <w:t>“la marca colectiva ayuda a revalorizar y diferenciar el producto local”. La identificación individual no solo es una forma de garantizar la trazabilidad, si no que se puede enfocar como distintivo de calidad, en nuestro caso incluyendo el sello “Sabors d’Eivissa”, del Consell Insular, lo que favorece la demanda del producto identificado”.</w:t>
      </w:r>
    </w:p>
    <w:p w14:paraId="634F7ED7" w14:textId="77777777" w:rsidR="00D152D6" w:rsidRPr="00C42091" w:rsidRDefault="00D152D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2"/>
          <w:szCs w:val="22"/>
          <w:lang w:val="es-ES"/>
        </w:rPr>
      </w:pPr>
    </w:p>
    <w:p w14:paraId="7BC1E760" w14:textId="77777777" w:rsidR="00D152D6" w:rsidRPr="00C42091" w:rsidRDefault="00C4209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i/>
          <w:sz w:val="22"/>
          <w:szCs w:val="22"/>
          <w:lang w:val="es-ES"/>
        </w:rPr>
      </w:pPr>
      <w:r w:rsidRPr="00C42091">
        <w:rPr>
          <w:rFonts w:ascii="Calibri" w:eastAsia="Calibri" w:hAnsi="Calibri" w:cs="Calibri"/>
          <w:sz w:val="22"/>
          <w:szCs w:val="22"/>
          <w:lang w:val="es-ES"/>
        </w:rPr>
        <w:t xml:space="preserve">Por último, Elisa Martínez, coordinadora de la Alianza Calant Xarxes, presentó a los miembros de la alianza, sus objetivos y principales líneas de acción, destacando que: </w:t>
      </w:r>
      <w:r w:rsidRPr="00C42091">
        <w:rPr>
          <w:rFonts w:ascii="Calibri" w:eastAsia="Calibri" w:hAnsi="Calibri" w:cs="Calibri"/>
          <w:i/>
          <w:sz w:val="22"/>
          <w:szCs w:val="22"/>
          <w:lang w:val="es-ES"/>
        </w:rPr>
        <w:t xml:space="preserve">“Este taller es el primer taller organizado por la Alianza Calant Xarxes que constituyó un espacio donde pudimos conocernos, compartir mejores prácticas entre pescadores y secretarios de las cofradías de las </w:t>
      </w:r>
      <w:r w:rsidRPr="00C42091">
        <w:rPr>
          <w:rFonts w:ascii="Calibri" w:eastAsia="Calibri" w:hAnsi="Calibri" w:cs="Calibri"/>
          <w:i/>
          <w:sz w:val="22"/>
          <w:szCs w:val="22"/>
          <w:lang w:val="es-ES"/>
        </w:rPr>
        <w:lastRenderedPageBreak/>
        <w:t>islas, identificar necesidades, poner en común experiencias y buscar vías de colaboración para avanzar hacia mejoras en la sostenibilidad y comercialización de productos del mar balear donde las etiquetas colectivas, los sistemas de trazabilidad y otras formas de diferenciación de productos pesqueros so</w:t>
      </w:r>
      <w:r w:rsidRPr="00C42091">
        <w:rPr>
          <w:rFonts w:ascii="Calibri" w:eastAsia="Calibri" w:hAnsi="Calibri" w:cs="Calibri"/>
          <w:i/>
          <w:sz w:val="22"/>
          <w:szCs w:val="22"/>
          <w:lang w:val="es-ES"/>
        </w:rPr>
        <w:t>stenibles pueden crear valor para su comercialización en hoteles y restaurantes considerando la existencia de consumidores cada vez más conscientes, que demandan productos de calidad, trazables y respetuosos con el medio ambiente”.</w:t>
      </w:r>
    </w:p>
    <w:p w14:paraId="58D655F2" w14:textId="77777777" w:rsidR="00D152D6" w:rsidRPr="00C42091" w:rsidRDefault="00D152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2"/>
          <w:szCs w:val="22"/>
          <w:lang w:val="es-ES"/>
        </w:rPr>
      </w:pPr>
    </w:p>
    <w:p w14:paraId="31ABF95C" w14:textId="77777777" w:rsidR="00D152D6" w:rsidRPr="00C42091" w:rsidRDefault="00C420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2"/>
          <w:szCs w:val="22"/>
          <w:lang w:val="es-ES"/>
        </w:rPr>
      </w:pPr>
      <w:r w:rsidRPr="00C42091">
        <w:rPr>
          <w:rFonts w:ascii="Calibri" w:eastAsia="Calibri" w:hAnsi="Calibri" w:cs="Calibri"/>
          <w:sz w:val="22"/>
          <w:szCs w:val="22"/>
          <w:lang w:val="es-ES"/>
        </w:rPr>
        <w:t xml:space="preserve">Este evento fue desarrollado dentro del marco de las iniciativas desarrolladas por la Alianza Calant Xarxes, un proyecto balear impulsado por Mallorca Preservation, Fundación Marilles, </w:t>
      </w:r>
    </w:p>
    <w:p w14:paraId="2D8A0D19" w14:textId="77777777" w:rsidR="00D152D6" w:rsidRPr="00C42091" w:rsidRDefault="00C4209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color w:val="000000"/>
          <w:sz w:val="22"/>
          <w:szCs w:val="22"/>
          <w:lang w:val="es-ES"/>
        </w:rPr>
      </w:pPr>
      <w:proofErr w:type="spellStart"/>
      <w:r>
        <w:rPr>
          <w:rFonts w:ascii="Calibri" w:eastAsia="Calibri" w:hAnsi="Calibri" w:cs="Calibri"/>
          <w:sz w:val="22"/>
          <w:szCs w:val="22"/>
        </w:rPr>
        <w:t>IbizaPreservation</w:t>
      </w:r>
      <w:proofErr w:type="spellEnd"/>
      <w:r>
        <w:rPr>
          <w:rFonts w:ascii="Calibri" w:eastAsia="Calibri" w:hAnsi="Calibri" w:cs="Calibri"/>
          <w:sz w:val="22"/>
          <w:szCs w:val="22"/>
        </w:rPr>
        <w:t xml:space="preserve">, Menorca Preservation, Conservation Collective y Blue Marine Foundation. </w:t>
      </w:r>
      <w:r w:rsidRPr="00C42091">
        <w:rPr>
          <w:rFonts w:ascii="Calibri" w:eastAsia="Calibri" w:hAnsi="Calibri" w:cs="Calibri"/>
          <w:sz w:val="22"/>
          <w:szCs w:val="22"/>
          <w:lang w:val="es-ES"/>
        </w:rPr>
        <w:t>Esta alianza tiene como objetivo trabajar con pescadores y diferentes actores de la cadena de valor, para que se conviertan en nuestros aliados en la conservación del mar balear, impulsando el abastecimiento responsable de productos del mar balear trazables, mejoras en sus pesquerías y erradicando al mismo tiempo la pesca ilegal para mejorar la sostenibilidad de las pesquerías en las islas baleares.</w:t>
      </w:r>
    </w:p>
    <w:p w14:paraId="24254749" w14:textId="77777777" w:rsidR="00D152D6" w:rsidRPr="00C42091" w:rsidRDefault="00D152D6">
      <w:pPr>
        <w:pBdr>
          <w:top w:val="nil"/>
          <w:left w:val="nil"/>
          <w:bottom w:val="nil"/>
          <w:right w:val="nil"/>
          <w:between w:val="nil"/>
        </w:pBdr>
        <w:shd w:val="clear" w:color="auto" w:fill="FFFFFF"/>
        <w:rPr>
          <w:rFonts w:ascii="Calibri" w:eastAsia="Calibri" w:hAnsi="Calibri" w:cs="Calibri"/>
          <w:color w:val="000000"/>
          <w:sz w:val="22"/>
          <w:szCs w:val="22"/>
          <w:lang w:val="es-ES"/>
        </w:rPr>
      </w:pPr>
    </w:p>
    <w:p w14:paraId="452C6EC5" w14:textId="77777777" w:rsidR="00D152D6" w:rsidRDefault="00C42091">
      <w:pPr>
        <w:pBdr>
          <w:top w:val="nil"/>
          <w:left w:val="nil"/>
          <w:bottom w:val="nil"/>
          <w:right w:val="nil"/>
          <w:between w:val="nil"/>
        </w:pBdr>
        <w:shd w:val="clear" w:color="auto" w:fill="FFFFFF"/>
        <w:rPr>
          <w:rFonts w:ascii="Calibri" w:eastAsia="Calibri" w:hAnsi="Calibri" w:cs="Calibri"/>
          <w:b/>
          <w:sz w:val="22"/>
          <w:szCs w:val="22"/>
        </w:rPr>
      </w:pPr>
      <w:proofErr w:type="spellStart"/>
      <w:r>
        <w:rPr>
          <w:rFonts w:ascii="Calibri" w:eastAsia="Calibri" w:hAnsi="Calibri" w:cs="Calibri"/>
          <w:b/>
          <w:sz w:val="22"/>
          <w:szCs w:val="22"/>
        </w:rPr>
        <w:t>Datos</w:t>
      </w:r>
      <w:proofErr w:type="spellEnd"/>
      <w:r>
        <w:rPr>
          <w:rFonts w:ascii="Calibri" w:eastAsia="Calibri" w:hAnsi="Calibri" w:cs="Calibri"/>
          <w:b/>
          <w:sz w:val="22"/>
          <w:szCs w:val="22"/>
        </w:rPr>
        <w:t xml:space="preserve"> de </w:t>
      </w:r>
      <w:proofErr w:type="spellStart"/>
      <w:r>
        <w:rPr>
          <w:rFonts w:ascii="Calibri" w:eastAsia="Calibri" w:hAnsi="Calibri" w:cs="Calibri"/>
          <w:b/>
          <w:sz w:val="22"/>
          <w:szCs w:val="22"/>
        </w:rPr>
        <w:t>contacto</w:t>
      </w:r>
      <w:proofErr w:type="spellEnd"/>
      <w:r>
        <w:rPr>
          <w:rFonts w:ascii="Calibri" w:eastAsia="Calibri" w:hAnsi="Calibri" w:cs="Calibri"/>
          <w:b/>
          <w:sz w:val="22"/>
          <w:szCs w:val="22"/>
        </w:rPr>
        <w:t>:</w:t>
      </w:r>
    </w:p>
    <w:p w14:paraId="54A25EB2" w14:textId="77777777" w:rsidR="00D152D6" w:rsidRPr="00C42091" w:rsidRDefault="00C42091">
      <w:pPr>
        <w:numPr>
          <w:ilvl w:val="0"/>
          <w:numId w:val="1"/>
        </w:numPr>
        <w:pBdr>
          <w:top w:val="nil"/>
          <w:left w:val="nil"/>
          <w:bottom w:val="nil"/>
          <w:right w:val="nil"/>
          <w:between w:val="nil"/>
        </w:pBdr>
        <w:shd w:val="clear" w:color="auto" w:fill="FFFFFF"/>
        <w:rPr>
          <w:rFonts w:ascii="Calibri" w:eastAsia="Calibri" w:hAnsi="Calibri" w:cs="Calibri"/>
          <w:sz w:val="22"/>
          <w:szCs w:val="22"/>
          <w:lang w:val="es-ES"/>
        </w:rPr>
      </w:pPr>
      <w:r w:rsidRPr="00C42091">
        <w:rPr>
          <w:rFonts w:ascii="Calibri" w:eastAsia="Calibri" w:hAnsi="Calibri" w:cs="Calibri"/>
          <w:sz w:val="22"/>
          <w:szCs w:val="22"/>
          <w:lang w:val="es-ES"/>
        </w:rPr>
        <w:t xml:space="preserve">Elisa Martinez, Coordinadora de la Alianza Calant Xarxes: </w:t>
      </w:r>
      <w:hyperlink r:id="rId8">
        <w:r w:rsidRPr="00C42091">
          <w:rPr>
            <w:rFonts w:ascii="Calibri" w:eastAsia="Calibri" w:hAnsi="Calibri" w:cs="Calibri"/>
            <w:color w:val="1155CC"/>
            <w:sz w:val="22"/>
            <w:szCs w:val="22"/>
            <w:u w:val="single"/>
            <w:lang w:val="es-ES"/>
          </w:rPr>
          <w:t>elisa@calantxarxes.org</w:t>
        </w:r>
      </w:hyperlink>
    </w:p>
    <w:p w14:paraId="7417B86A" w14:textId="77777777" w:rsidR="00D152D6" w:rsidRPr="00C42091" w:rsidRDefault="00D152D6">
      <w:pPr>
        <w:pBdr>
          <w:top w:val="nil"/>
          <w:left w:val="nil"/>
          <w:bottom w:val="nil"/>
          <w:right w:val="nil"/>
          <w:between w:val="nil"/>
        </w:pBdr>
        <w:jc w:val="both"/>
        <w:rPr>
          <w:rFonts w:ascii="Calibri" w:eastAsia="Calibri" w:hAnsi="Calibri" w:cs="Calibri"/>
          <w:sz w:val="22"/>
          <w:szCs w:val="22"/>
          <w:lang w:val="es-ES"/>
        </w:rPr>
      </w:pPr>
    </w:p>
    <w:p w14:paraId="4D0AADF9" w14:textId="77777777" w:rsidR="00D152D6" w:rsidRPr="00C42091" w:rsidRDefault="00D152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color w:val="000000"/>
          <w:sz w:val="22"/>
          <w:szCs w:val="22"/>
          <w:lang w:val="es-ES"/>
        </w:rPr>
      </w:pPr>
    </w:p>
    <w:p w14:paraId="2DC0FFDA" w14:textId="77777777" w:rsidR="00D152D6" w:rsidRPr="00C42091" w:rsidRDefault="00D152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eastAsia="Calibri" w:hAnsi="Calibri" w:cs="Calibri"/>
          <w:sz w:val="22"/>
          <w:szCs w:val="22"/>
          <w:lang w:val="es-ES"/>
        </w:rPr>
      </w:pPr>
    </w:p>
    <w:p w14:paraId="6024123B" w14:textId="77777777" w:rsidR="00D152D6" w:rsidRPr="00C42091" w:rsidRDefault="00D152D6">
      <w:pPr>
        <w:pBdr>
          <w:top w:val="nil"/>
          <w:left w:val="nil"/>
          <w:bottom w:val="nil"/>
          <w:right w:val="nil"/>
          <w:between w:val="nil"/>
        </w:pBdr>
        <w:jc w:val="both"/>
        <w:rPr>
          <w:rFonts w:ascii="Calibri" w:eastAsia="Calibri" w:hAnsi="Calibri" w:cs="Calibri"/>
          <w:sz w:val="22"/>
          <w:szCs w:val="22"/>
          <w:lang w:val="es-ES"/>
        </w:rPr>
      </w:pPr>
    </w:p>
    <w:sectPr w:rsidR="00D152D6" w:rsidRPr="00C42091">
      <w:headerReference w:type="default" r:id="rId9"/>
      <w:footerReference w:type="default" r:id="rId10"/>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D440" w14:textId="77777777" w:rsidR="00C42091" w:rsidRDefault="00C42091">
      <w:r>
        <w:separator/>
      </w:r>
    </w:p>
  </w:endnote>
  <w:endnote w:type="continuationSeparator" w:id="0">
    <w:p w14:paraId="255DBCCF" w14:textId="77777777" w:rsidR="00C42091" w:rsidRDefault="00C4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Regular">
    <w:altName w:val="Roboto"/>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Bold">
    <w:altName w:val="Robo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8733" w14:textId="77777777" w:rsidR="00D152D6" w:rsidRDefault="00D152D6">
    <w:pPr>
      <w:pBdr>
        <w:top w:val="nil"/>
        <w:left w:val="nil"/>
        <w:bottom w:val="nil"/>
        <w:right w:val="nil"/>
        <w:between w:val="nil"/>
      </w:pBdr>
      <w:tabs>
        <w:tab w:val="right" w:pos="9020"/>
      </w:tabs>
      <w:rPr>
        <w:rFonts w:ascii="Roboto" w:eastAsia="Roboto" w:hAnsi="Roboto" w:cs="Roboto"/>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42C2" w14:textId="77777777" w:rsidR="00C42091" w:rsidRDefault="00C42091">
      <w:r>
        <w:separator/>
      </w:r>
    </w:p>
  </w:footnote>
  <w:footnote w:type="continuationSeparator" w:id="0">
    <w:p w14:paraId="7EBFCCAA" w14:textId="77777777" w:rsidR="00C42091" w:rsidRDefault="00C42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EC1C" w14:textId="77777777" w:rsidR="00D152D6" w:rsidRDefault="00C42091">
    <w:pPr>
      <w:pBdr>
        <w:top w:val="nil"/>
        <w:left w:val="nil"/>
        <w:bottom w:val="nil"/>
        <w:right w:val="nil"/>
        <w:between w:val="nil"/>
      </w:pBdr>
      <w:tabs>
        <w:tab w:val="right" w:pos="9020"/>
      </w:tabs>
      <w:ind w:left="-810"/>
      <w:jc w:val="center"/>
      <w:rPr>
        <w:rFonts w:ascii="Roboto" w:eastAsia="Roboto" w:hAnsi="Roboto" w:cs="Roboto"/>
        <w:color w:val="000000"/>
        <w:sz w:val="22"/>
        <w:szCs w:val="22"/>
      </w:rPr>
    </w:pPr>
    <w:r>
      <w:rPr>
        <w:rFonts w:ascii="Arial" w:eastAsia="Arial" w:hAnsi="Arial" w:cs="Arial"/>
        <w:noProof/>
        <w:sz w:val="22"/>
        <w:szCs w:val="22"/>
      </w:rPr>
      <w:drawing>
        <wp:inline distT="114300" distB="114300" distL="114300" distR="114300" wp14:anchorId="5E1364E7" wp14:editId="2912E0F7">
          <wp:extent cx="860108" cy="860108"/>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60108" cy="860108"/>
                  </a:xfrm>
                  <a:prstGeom prst="rect">
                    <a:avLst/>
                  </a:prstGeom>
                  <a:ln/>
                </pic:spPr>
              </pic:pic>
            </a:graphicData>
          </a:graphic>
        </wp:inline>
      </w:drawing>
    </w:r>
    <w:r>
      <w:rPr>
        <w:rFonts w:ascii="Roboto" w:eastAsia="Roboto" w:hAnsi="Roboto" w:cs="Roboto"/>
        <w:noProof/>
        <w:sz w:val="22"/>
        <w:szCs w:val="22"/>
      </w:rPr>
      <w:drawing>
        <wp:inline distT="114300" distB="114300" distL="114300" distR="114300" wp14:anchorId="544D1E8C" wp14:editId="2D99D141">
          <wp:extent cx="887723" cy="88772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7723" cy="887723"/>
                  </a:xfrm>
                  <a:prstGeom prst="rect">
                    <a:avLst/>
                  </a:prstGeom>
                  <a:ln/>
                </pic:spPr>
              </pic:pic>
            </a:graphicData>
          </a:graphic>
        </wp:inline>
      </w:drawing>
    </w:r>
    <w:r>
      <w:rPr>
        <w:rFonts w:ascii="Roboto" w:eastAsia="Roboto" w:hAnsi="Roboto" w:cs="Roboto"/>
        <w:noProof/>
        <w:sz w:val="22"/>
        <w:szCs w:val="22"/>
      </w:rPr>
      <w:drawing>
        <wp:inline distT="114300" distB="114300" distL="114300" distR="114300" wp14:anchorId="00FD6FC7" wp14:editId="15B5CB82">
          <wp:extent cx="907733" cy="907733"/>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907733" cy="907733"/>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7A4D0620" wp14:editId="77F10567">
          <wp:extent cx="844387" cy="83540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l="10961" t="10815" r="10465" b="10981"/>
                  <a:stretch>
                    <a:fillRect/>
                  </a:stretch>
                </pic:blipFill>
                <pic:spPr>
                  <a:xfrm>
                    <a:off x="0" y="0"/>
                    <a:ext cx="844387" cy="835405"/>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746927BE" wp14:editId="01269073">
          <wp:extent cx="1016066" cy="9020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16066" cy="902017"/>
                  </a:xfrm>
                  <a:prstGeom prst="rect">
                    <a:avLst/>
                  </a:prstGeom>
                  <a:ln/>
                </pic:spPr>
              </pic:pic>
            </a:graphicData>
          </a:graphic>
        </wp:inline>
      </w:drawing>
    </w:r>
    <w:r>
      <w:rPr>
        <w:rFonts w:ascii="Arial" w:eastAsia="Arial" w:hAnsi="Arial" w:cs="Arial"/>
        <w:noProof/>
        <w:sz w:val="22"/>
        <w:szCs w:val="22"/>
      </w:rPr>
      <w:drawing>
        <wp:inline distT="114300" distB="114300" distL="114300" distR="114300" wp14:anchorId="3F8038F6" wp14:editId="3515FD27">
          <wp:extent cx="853912" cy="844924"/>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853912" cy="84492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7604"/>
    <w:multiLevelType w:val="multilevel"/>
    <w:tmpl w:val="A92C6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319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D6"/>
    <w:rsid w:val="00C42091"/>
    <w:rsid w:val="00D152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059BB0C"/>
  <w15:docId w15:val="{05DF1FDD-600A-3C47-B89D-82C0087A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En-tte">
    <w:name w:val="En-tête"/>
    <w:pPr>
      <w:tabs>
        <w:tab w:val="right" w:pos="9020"/>
      </w:tabs>
    </w:pPr>
    <w:rPr>
      <w:rFonts w:ascii="Roboto Regular" w:hAnsi="Roboto Regular" w:cs="Arial Unicode MS"/>
      <w:color w:val="000000"/>
      <w:sz w:val="22"/>
      <w:szCs w:val="22"/>
      <w14:textOutline w14:w="0" w14:cap="flat" w14:cmpd="sng" w14:algn="ctr">
        <w14:noFill/>
        <w14:prstDash w14:val="solid"/>
        <w14:bevel/>
      </w14:textOutline>
    </w:rPr>
  </w:style>
  <w:style w:type="paragraph" w:customStyle="1" w:styleId="Corps">
    <w:name w:val="Corps"/>
    <w:rPr>
      <w:rFonts w:ascii="Calibri" w:hAnsi="Calibri" w:cs="Arial Unicode MS"/>
      <w:color w:val="000000"/>
      <w:kern w:val="2"/>
      <w:u w:color="000000"/>
      <w14:textOutline w14:w="0" w14:cap="flat" w14:cmpd="sng" w14:algn="ctr">
        <w14:noFill/>
        <w14:prstDash w14:val="solid"/>
        <w14:bevel/>
      </w14:textOutline>
    </w:rPr>
  </w:style>
  <w:style w:type="character" w:customStyle="1" w:styleId="Aucun">
    <w:name w:val="Aucun"/>
    <w:rPr>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06D72"/>
    <w:pPr>
      <w:spacing w:before="100" w:beforeAutospacing="1" w:after="100" w:afterAutospacing="1"/>
    </w:pPr>
    <w:rPr>
      <w:lang w:val="es-ES" w:eastAsia="es-ES_tradnl"/>
    </w:rPr>
  </w:style>
  <w:style w:type="character" w:customStyle="1" w:styleId="apple-converted-space">
    <w:name w:val="apple-converted-space"/>
    <w:basedOn w:val="Fuentedeprrafopredeter"/>
    <w:rsid w:val="00406D72"/>
  </w:style>
  <w:style w:type="paragraph" w:styleId="NormalWeb">
    <w:name w:val="Normal (Web)"/>
    <w:basedOn w:val="Normal"/>
    <w:uiPriority w:val="99"/>
    <w:semiHidden/>
    <w:unhideWhenUsed/>
    <w:rsid w:val="00D271A1"/>
    <w:pPr>
      <w:spacing w:before="100" w:beforeAutospacing="1" w:after="100" w:afterAutospacing="1"/>
    </w:pPr>
    <w:rPr>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isa@calantxarxes.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Roboto Bold"/>
        <a:ea typeface="Roboto Bold"/>
        <a:cs typeface="Roboto Bold"/>
      </a:majorFont>
      <a:minorFont>
        <a:latin typeface="Roboto Regular"/>
        <a:ea typeface="Roboto Regular"/>
        <a:cs typeface="Roboto Regular"/>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uZirVoWTbqC8jzjjFKJ64QdBJA==">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28A149A79C1D124B9C971A33AD32B69A" ma:contentTypeVersion="20" ma:contentTypeDescription="Crear nuevo documento." ma:contentTypeScope="" ma:versionID="98ec774646cc9be536ed7268d31bdb4c">
  <xsd:schema xmlns:xsd="http://www.w3.org/2001/XMLSchema" xmlns:xs="http://www.w3.org/2001/XMLSchema" xmlns:p="http://schemas.microsoft.com/office/2006/metadata/properties" xmlns:ns2="bc7f6ba3-41cb-40b7-af42-b411c12d8057" xmlns:ns3="efcedcf2-8618-4dd3-ad1e-045d7ec9992b" targetNamespace="http://schemas.microsoft.com/office/2006/metadata/properties" ma:root="true" ma:fieldsID="b6cca57eaba4ec8cf2c219e3d8d5808e" ns2:_="" ns3:_="">
    <xsd:import namespace="bc7f6ba3-41cb-40b7-af42-b411c12d8057"/>
    <xsd:import namespace="efcedcf2-8618-4dd3-ad1e-045d7ec999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f6ba3-41cb-40b7-af42-b411c12d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885b503e-960e-4e51-8db6-4981fc5f78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cedcf2-8618-4dd3-ad1e-045d7ec9992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0f7b24c-13b4-472c-9e39-cd08b26985f0}" ma:internalName="TaxCatchAll" ma:showField="CatchAllData" ma:web="efcedcf2-8618-4dd3-ad1e-045d7ec999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7CA252E-51F3-4C98-95AF-54B72AA66DBE}"/>
</file>

<file path=customXml/itemProps3.xml><?xml version="1.0" encoding="utf-8"?>
<ds:datastoreItem xmlns:ds="http://schemas.openxmlformats.org/officeDocument/2006/customXml" ds:itemID="{EE560081-F61A-4BD8-9263-8E32FDFC623B}"/>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3910</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d'Eustacchio</cp:lastModifiedBy>
  <cp:revision>2</cp:revision>
  <dcterms:created xsi:type="dcterms:W3CDTF">2024-03-12T10:02:00Z</dcterms:created>
  <dcterms:modified xsi:type="dcterms:W3CDTF">2024-03-12T10:02:00Z</dcterms:modified>
</cp:coreProperties>
</file>